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5F" w:rsidRPr="00CA135F" w:rsidRDefault="00CA135F" w:rsidP="00CA135F">
      <w:pPr>
        <w:jc w:val="center"/>
        <w:rPr>
          <w:sz w:val="32"/>
          <w:szCs w:val="32"/>
          <w:lang w:bidi="ar-EG"/>
        </w:rPr>
      </w:pPr>
      <w:bookmarkStart w:id="0" w:name="Anchor1"/>
      <w:bookmarkEnd w:id="0"/>
      <w:r w:rsidRPr="00CA135F">
        <w:rPr>
          <w:sz w:val="32"/>
          <w:szCs w:val="32"/>
          <w:rtl/>
        </w:rPr>
        <w:t xml:space="preserve">الطعن رقم </w:t>
      </w:r>
      <w:bookmarkStart w:id="1" w:name="_GoBack"/>
      <w:bookmarkEnd w:id="1"/>
      <w:r w:rsidRPr="00CA135F">
        <w:rPr>
          <w:sz w:val="32"/>
          <w:szCs w:val="32"/>
          <w:lang w:bidi="ar-EG"/>
        </w:rPr>
        <w:t>361/2013</w:t>
      </w:r>
    </w:p>
    <w:p w:rsidR="00CA135F" w:rsidRPr="00CA135F" w:rsidRDefault="00CA135F" w:rsidP="00CA135F">
      <w:pPr>
        <w:rPr>
          <w:sz w:val="32"/>
          <w:szCs w:val="32"/>
          <w:lang w:bidi="ar-EG"/>
        </w:rPr>
      </w:pPr>
      <w:bookmarkStart w:id="2" w:name="Anchor7"/>
      <w:bookmarkEnd w:id="2"/>
      <w:r w:rsidRPr="00CA135F">
        <w:rPr>
          <w:sz w:val="32"/>
          <w:szCs w:val="32"/>
          <w:rtl/>
        </w:rPr>
        <w:t>هيئة المحكمة</w:t>
      </w:r>
      <w:r w:rsidRPr="00CA135F">
        <w:rPr>
          <w:sz w:val="32"/>
          <w:szCs w:val="32"/>
          <w:lang w:bidi="ar-EG"/>
        </w:rPr>
        <w:t xml:space="preserve">: </w:t>
      </w:r>
      <w:r w:rsidRPr="00CA135F">
        <w:rPr>
          <w:sz w:val="32"/>
          <w:szCs w:val="32"/>
          <w:rtl/>
        </w:rPr>
        <w:t>برئاسة السيد المستشار أنور علي بورسلي وكيل المحكمة وعضوية السادة المستشارين أحمد على راجح ومجدي محمد جاد وفيصل عبد الحميد حرحش ورمضان عثمان</w:t>
      </w:r>
    </w:p>
    <w:bookmarkStart w:id="3" w:name="Anchor30"/>
    <w:bookmarkEnd w:id="3"/>
    <w:p w:rsidR="00CA135F" w:rsidRPr="00CA135F" w:rsidRDefault="00CA135F" w:rsidP="00CA135F">
      <w:pPr>
        <w:rPr>
          <w:sz w:val="32"/>
          <w:szCs w:val="32"/>
          <w:lang w:bidi="ar-EG"/>
        </w:rPr>
      </w:pPr>
      <w:r w:rsidRPr="00CA135F">
        <w:rPr>
          <w:sz w:val="32"/>
          <w:szCs w:val="32"/>
          <w:lang w:bidi="ar-EG"/>
        </w:rPr>
        <w:fldChar w:fldCharType="begin"/>
      </w:r>
      <w:r w:rsidRPr="00CA135F">
        <w:rPr>
          <w:sz w:val="32"/>
          <w:szCs w:val="32"/>
          <w:lang w:bidi="ar-EG"/>
        </w:rPr>
        <w:instrText xml:space="preserve"> HYPERLINK "http://www.law.gov.kw/KWT_CC-Ar/00_2014/00_%D8%A7%D9%84%D8%AF%D8%A7%D8%A6%D8%B1%D8%A9%20%D8%A7%D9%84%D8%AA%D8%AC%D8%A7%D8%B1%D9%8A%D8%A9/KWT-CC-Ar_2014-09-16_00361_Taan.html" \l "TM2014_361_1" </w:instrText>
      </w:r>
      <w:r w:rsidRPr="00CA135F">
        <w:rPr>
          <w:sz w:val="32"/>
          <w:szCs w:val="32"/>
          <w:lang w:bidi="ar-EG"/>
        </w:rPr>
        <w:fldChar w:fldCharType="separate"/>
      </w:r>
      <w:r w:rsidRPr="00CA135F">
        <w:rPr>
          <w:rStyle w:val="Hyperlink"/>
          <w:sz w:val="32"/>
          <w:szCs w:val="32"/>
          <w:lang w:bidi="ar-EG"/>
        </w:rPr>
        <w:t xml:space="preserve">1- </w:t>
      </w:r>
      <w:r w:rsidRPr="00CA135F">
        <w:rPr>
          <w:rStyle w:val="Hyperlink"/>
          <w:sz w:val="32"/>
          <w:szCs w:val="32"/>
          <w:rtl/>
        </w:rPr>
        <w:t>ان القول بوحدة الموضوع او المسألة المشتركة بين دعويين هو مسألة موضوعية تدخل في سلطة محكمة الموضوع التقديرية</w:t>
      </w:r>
      <w:r w:rsidRPr="00CA135F">
        <w:rPr>
          <w:rStyle w:val="Hyperlink"/>
          <w:sz w:val="32"/>
          <w:szCs w:val="32"/>
          <w:lang w:bidi="ar-EG"/>
        </w:rPr>
        <w:t>.</w:t>
      </w:r>
      <w:r w:rsidRPr="00CA135F">
        <w:rPr>
          <w:sz w:val="32"/>
          <w:szCs w:val="32"/>
          <w:lang w:bidi="ar-EG"/>
        </w:rPr>
        <w:fldChar w:fldCharType="end"/>
      </w:r>
    </w:p>
    <w:bookmarkStart w:id="4" w:name="Anchor42"/>
    <w:bookmarkEnd w:id="4"/>
    <w:p w:rsidR="00CA135F" w:rsidRPr="00CA135F" w:rsidRDefault="00CA135F" w:rsidP="00CA135F">
      <w:pPr>
        <w:rPr>
          <w:sz w:val="32"/>
          <w:szCs w:val="32"/>
          <w:lang w:bidi="ar-EG"/>
        </w:rPr>
      </w:pPr>
      <w:r w:rsidRPr="00CA135F">
        <w:rPr>
          <w:sz w:val="32"/>
          <w:szCs w:val="32"/>
          <w:lang w:bidi="ar-EG"/>
        </w:rPr>
        <w:fldChar w:fldCharType="begin"/>
      </w:r>
      <w:r w:rsidRPr="00CA135F">
        <w:rPr>
          <w:sz w:val="32"/>
          <w:szCs w:val="32"/>
          <w:lang w:bidi="ar-EG"/>
        </w:rPr>
        <w:instrText xml:space="preserve"> HYPERLINK "http://www.law.gov.kw/KWT_CC-Ar/00_2014/00_%D8%A7%D9%84%D8%AF%D8%A7%D8%A6%D8%B1%D8%A9%20%D8%A7%D9%84%D8%AA%D8%AC%D8%A7%D8%B1%D9%8A%D8%A9/KWT-CC-Ar_2014-09-16_00361_Taan.html" \l "TM2014_361_2" </w:instrText>
      </w:r>
      <w:r w:rsidRPr="00CA135F">
        <w:rPr>
          <w:sz w:val="32"/>
          <w:szCs w:val="32"/>
          <w:lang w:bidi="ar-EG"/>
        </w:rPr>
        <w:fldChar w:fldCharType="separate"/>
      </w:r>
      <w:r w:rsidRPr="00CA135F">
        <w:rPr>
          <w:rStyle w:val="Hyperlink"/>
          <w:sz w:val="32"/>
          <w:szCs w:val="32"/>
          <w:lang w:bidi="ar-EG"/>
        </w:rPr>
        <w:t xml:space="preserve">2- </w:t>
      </w:r>
      <w:r w:rsidRPr="00CA135F">
        <w:rPr>
          <w:rStyle w:val="Hyperlink"/>
          <w:sz w:val="32"/>
          <w:szCs w:val="32"/>
          <w:rtl/>
        </w:rPr>
        <w:t>ان تقدير مدى توافر قيام حجية الحكم المانعة من اعادة نظر الدعوى هو من سلطة محكمة الموضوع متى كانت قد اعتمدت في ذلك على اسباب سائغة لها سندها في الأوراق</w:t>
      </w:r>
      <w:r w:rsidRPr="00CA135F">
        <w:rPr>
          <w:rStyle w:val="Hyperlink"/>
          <w:sz w:val="32"/>
          <w:szCs w:val="32"/>
          <w:lang w:bidi="ar-EG"/>
        </w:rPr>
        <w:t>.</w:t>
      </w:r>
      <w:r w:rsidRPr="00CA135F">
        <w:rPr>
          <w:sz w:val="32"/>
          <w:szCs w:val="32"/>
          <w:lang w:bidi="ar-EG"/>
        </w:rPr>
        <w:fldChar w:fldCharType="end"/>
      </w:r>
      <w:r w:rsidRPr="00CA135F">
        <w:rPr>
          <w:sz w:val="32"/>
          <w:szCs w:val="32"/>
          <w:lang w:bidi="ar-EG"/>
        </w:rPr>
        <w:br/>
      </w:r>
      <w:r w:rsidRPr="00CA135F">
        <w:rPr>
          <w:sz w:val="32"/>
          <w:szCs w:val="32"/>
          <w:lang w:bidi="ar-EG"/>
        </w:rPr>
        <w:br/>
      </w:r>
      <w:r w:rsidRPr="00CA135F">
        <w:rPr>
          <w:sz w:val="32"/>
          <w:szCs w:val="32"/>
          <w:u w:val="single"/>
          <w:rtl/>
        </w:rPr>
        <w:t>ملاحظة</w:t>
      </w:r>
      <w:r w:rsidRPr="00CA135F">
        <w:rPr>
          <w:sz w:val="32"/>
          <w:szCs w:val="32"/>
          <w:u w:val="single"/>
          <w:lang w:bidi="ar-EG"/>
        </w:rPr>
        <w:t xml:space="preserve"> :</w:t>
      </w:r>
      <w:r w:rsidRPr="00CA135F">
        <w:rPr>
          <w:sz w:val="32"/>
          <w:szCs w:val="32"/>
          <w:lang w:bidi="ar-EG"/>
        </w:rPr>
        <w:br/>
      </w:r>
      <w:r w:rsidRPr="00CA135F">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A135F" w:rsidRPr="00CA135F" w:rsidRDefault="00CA135F" w:rsidP="00CA135F">
      <w:pPr>
        <w:rPr>
          <w:sz w:val="32"/>
          <w:szCs w:val="32"/>
          <w:lang w:bidi="ar-EG"/>
        </w:rPr>
      </w:pPr>
      <w:bookmarkStart w:id="5" w:name="Anchor58"/>
      <w:bookmarkEnd w:id="5"/>
      <w:r w:rsidRPr="00CA135F">
        <w:rPr>
          <w:b/>
          <w:bCs/>
          <w:sz w:val="32"/>
          <w:szCs w:val="32"/>
          <w:rtl/>
        </w:rPr>
        <w:t>المحكمة</w:t>
      </w:r>
    </w:p>
    <w:p w:rsidR="00CA135F" w:rsidRPr="00CA135F" w:rsidRDefault="00CA135F" w:rsidP="00CA135F">
      <w:pPr>
        <w:rPr>
          <w:sz w:val="32"/>
          <w:szCs w:val="32"/>
          <w:lang w:bidi="ar-EG"/>
        </w:rPr>
      </w:pPr>
      <w:bookmarkStart w:id="6" w:name="Anchor59"/>
      <w:bookmarkEnd w:id="6"/>
      <w:r w:rsidRPr="00CA135F">
        <w:rPr>
          <w:sz w:val="32"/>
          <w:szCs w:val="32"/>
          <w:rtl/>
        </w:rPr>
        <w:t>بعد الاطلاع على الأوراق، والمداولة</w:t>
      </w:r>
      <w:r w:rsidRPr="00CA135F">
        <w:rPr>
          <w:sz w:val="32"/>
          <w:szCs w:val="32"/>
          <w:lang w:bidi="ar-EG"/>
        </w:rPr>
        <w:t>.</w:t>
      </w:r>
    </w:p>
    <w:p w:rsidR="00CA135F" w:rsidRPr="00CA135F" w:rsidRDefault="00CA135F" w:rsidP="00CA135F">
      <w:pPr>
        <w:rPr>
          <w:sz w:val="32"/>
          <w:szCs w:val="32"/>
          <w:lang w:bidi="ar-EG"/>
        </w:rPr>
      </w:pPr>
      <w:bookmarkStart w:id="7" w:name="Anchor63"/>
      <w:bookmarkEnd w:id="7"/>
      <w:r w:rsidRPr="00CA135F">
        <w:rPr>
          <w:sz w:val="32"/>
          <w:szCs w:val="32"/>
          <w:rtl/>
        </w:rPr>
        <w:t xml:space="preserve">لما كان من المقرر </w:t>
      </w:r>
      <w:bookmarkStart w:id="8" w:name="TM2014_361_1"/>
      <w:bookmarkEnd w:id="8"/>
      <w:r w:rsidRPr="00CA135F">
        <w:rPr>
          <w:b/>
          <w:bCs/>
          <w:sz w:val="32"/>
          <w:szCs w:val="32"/>
          <w:rtl/>
        </w:rPr>
        <w:t>أن القول بوحدة الموضوع أو المسألة المشتركة بين دعويين هو مسألة موضوعية</w:t>
      </w:r>
    </w:p>
    <w:p w:rsidR="00CA135F" w:rsidRPr="00CA135F" w:rsidRDefault="00CA135F" w:rsidP="00CA135F">
      <w:pPr>
        <w:rPr>
          <w:sz w:val="32"/>
          <w:szCs w:val="32"/>
          <w:lang w:bidi="ar-EG"/>
        </w:rPr>
      </w:pPr>
      <w:bookmarkStart w:id="9" w:name="Anchor73"/>
      <w:bookmarkStart w:id="10" w:name="TM2014_361_2"/>
      <w:bookmarkEnd w:id="9"/>
      <w:bookmarkEnd w:id="10"/>
      <w:r w:rsidRPr="00CA135F">
        <w:rPr>
          <w:b/>
          <w:bCs/>
          <w:sz w:val="32"/>
          <w:szCs w:val="32"/>
          <w:rtl/>
        </w:rPr>
        <w:t>وأن تقدير مدى توافر قيام حجية الحكم المانعة من إعادة نظر الدعوى هو من سلطة محكمة الموضوع متى كانت قد اعتمدت في ذلك على اسباب سائغة تؤدي الي النتيجة التي انتهت إليها،</w:t>
      </w:r>
      <w:r w:rsidRPr="00CA135F">
        <w:rPr>
          <w:sz w:val="32"/>
          <w:szCs w:val="32"/>
          <w:rtl/>
        </w:rPr>
        <w:t xml:space="preserve"> وكان الحكم المطعون فيه المؤيد للحكم الابتدائي قد أقام قضاءه بعدم جواز نظر الدعوى لسابقة الفصل فيها في الاستئناف رقم 3298 لسنة 2008 تجاري /5 على ما خلص إليه من أوراق الدعوى ومستنداتها من أن الثابت بالأوراق أن الدعوى الماثلة هي بطلب الحكم بأن الشيكين رقمي 226 ، 227 الصادر بموجبها أمر الأداء رقم 2740 لسنة 2008 كلي بإلزام الطاعن بأن يؤدي قيمتهما البالغة 5800 د.ك للمطعون ضده الأول هما شيكي ضمان ولا أحقية للمطعون ضدهم في قيمتهما أو أحقيته في استرداد قيمتهما وأن الطاعن كان قد طعن على أمر الأداء سالف الذكر بالاستئناف رقم 3298 لسنة 2008 تجاري /5 والذي قضى فيه بالحكم المحاج به بتأييد أمر الأداء آنف البين استنادا إلي ثبوت مديونية الطاعن للمطعون ضده الأول بقيمة الشيكين الصادر بموجبهما أمر الأداء سالف </w:t>
      </w:r>
      <w:r w:rsidRPr="00CA135F">
        <w:rPr>
          <w:sz w:val="32"/>
          <w:szCs w:val="32"/>
          <w:rtl/>
        </w:rPr>
        <w:lastRenderedPageBreak/>
        <w:t>الذكر وأنهما ليس محررين للضمان وكان الحكم المحاج به نهائي وحائز لحجية الأمر المقضي وقد فصل في أحقية المطعون ضده الأول في قيمة الشيكين الصادر بهما وفي منازعة الطاعن بأنهما شيكي ضمان أمر الأداء ومديونية الطاعن له بها وهو الأساس المشترك فيما يدعيه الطاعن قبل المطعون ضدهم في الدعوى الماثلة وبالتالي لا يجوز العودة مرة ثانية لمناقشة ما فصل فيه الحكم المحاج به في المسألة الأساسية في الدعويين السابقة والماثلة بين ذات الخصوم ولا يغير من ذلك اختلاف الطلبات في الدعويين ما دام الأساس فيهما واحدا ورتب على ذلك قضاءه سالف الذكر وهو من الحكم استخلاص سائغ له معينه بالأوراق وكاف لحمل قضائه فإن النعي عليه بما ورد بسبب الطعن يضحى جدلاً في السلطة التقديرية لمحكمة الموضوع لا يجوز إثارته أمام هذه المحكمة ومن ثم يكون الطعن غير مقبول</w:t>
      </w:r>
      <w:r w:rsidRPr="00CA135F">
        <w:rPr>
          <w:sz w:val="32"/>
          <w:szCs w:val="32"/>
          <w:lang w:bidi="ar-EG"/>
        </w:rPr>
        <w:t>.</w:t>
      </w:r>
    </w:p>
    <w:p w:rsidR="00CA135F" w:rsidRPr="00CA135F" w:rsidRDefault="00CA135F" w:rsidP="00CA135F">
      <w:pPr>
        <w:rPr>
          <w:sz w:val="32"/>
          <w:szCs w:val="32"/>
          <w:lang w:bidi="ar-EG"/>
        </w:rPr>
      </w:pPr>
      <w:bookmarkStart w:id="11" w:name="Anchor217"/>
      <w:bookmarkEnd w:id="11"/>
      <w:r w:rsidRPr="00CA135F">
        <w:rPr>
          <w:sz w:val="32"/>
          <w:szCs w:val="32"/>
          <w:rtl/>
        </w:rPr>
        <w:t>لذلك</w:t>
      </w:r>
    </w:p>
    <w:p w:rsidR="00CA135F" w:rsidRPr="00CA135F" w:rsidRDefault="00CA135F" w:rsidP="00CA135F">
      <w:pPr>
        <w:rPr>
          <w:sz w:val="32"/>
          <w:szCs w:val="32"/>
          <w:lang w:bidi="ar-EG"/>
        </w:rPr>
      </w:pPr>
      <w:bookmarkStart w:id="12" w:name="Anchor218"/>
      <w:bookmarkEnd w:id="12"/>
      <w:r w:rsidRPr="00CA135F">
        <w:rPr>
          <w:sz w:val="32"/>
          <w:szCs w:val="32"/>
          <w:rtl/>
        </w:rPr>
        <w:t xml:space="preserve">قررت المحكمة </w:t>
      </w:r>
      <w:r w:rsidRPr="00CA135F">
        <w:rPr>
          <w:sz w:val="32"/>
          <w:szCs w:val="32"/>
          <w:lang w:bidi="ar-EG"/>
        </w:rPr>
        <w:t xml:space="preserve">– </w:t>
      </w:r>
      <w:r w:rsidRPr="00CA135F">
        <w:rPr>
          <w:sz w:val="32"/>
          <w:szCs w:val="32"/>
          <w:rtl/>
        </w:rPr>
        <w:t xml:space="preserve">في غرفة المشورة </w:t>
      </w:r>
      <w:r w:rsidRPr="00CA135F">
        <w:rPr>
          <w:sz w:val="32"/>
          <w:szCs w:val="32"/>
          <w:lang w:bidi="ar-EG"/>
        </w:rPr>
        <w:t xml:space="preserve">– </w:t>
      </w:r>
      <w:r w:rsidRPr="00CA135F">
        <w:rPr>
          <w:sz w:val="32"/>
          <w:szCs w:val="32"/>
          <w:rtl/>
        </w:rPr>
        <w:t>عدم قبول الطعن وألزمت الطاعن المصروفات مع مصادرة الكفالة</w:t>
      </w:r>
      <w:r w:rsidRPr="00CA135F">
        <w:rPr>
          <w:sz w:val="32"/>
          <w:szCs w:val="32"/>
          <w:lang w:bidi="ar-EG"/>
        </w:rPr>
        <w:t>.</w:t>
      </w:r>
    </w:p>
    <w:p w:rsidR="00CA135F" w:rsidRPr="00CA135F" w:rsidRDefault="00CA135F" w:rsidP="00CA135F">
      <w:pPr>
        <w:rPr>
          <w:sz w:val="32"/>
          <w:szCs w:val="32"/>
          <w:lang w:bidi="ar-EG"/>
        </w:rPr>
      </w:pPr>
    </w:p>
    <w:p w:rsidR="00CA135F" w:rsidRPr="00CA135F" w:rsidRDefault="00CA135F" w:rsidP="00CA135F">
      <w:pPr>
        <w:rPr>
          <w:sz w:val="32"/>
          <w:szCs w:val="32"/>
          <w:lang w:bidi="ar-EG"/>
        </w:rPr>
      </w:pPr>
      <w:bookmarkStart w:id="13" w:name="Anchor231"/>
      <w:bookmarkEnd w:id="13"/>
      <w:r w:rsidRPr="00CA135F">
        <w:rPr>
          <w:sz w:val="32"/>
          <w:szCs w:val="32"/>
          <w:lang w:bidi="ar-EG"/>
        </w:rPr>
        <w:t>* * *</w:t>
      </w:r>
    </w:p>
    <w:p w:rsidR="008C2BA0" w:rsidRPr="00CA135F" w:rsidRDefault="008C2BA0">
      <w:pPr>
        <w:rPr>
          <w:rFonts w:hint="cs"/>
          <w:sz w:val="32"/>
          <w:szCs w:val="32"/>
          <w:lang w:bidi="ar-EG"/>
        </w:rPr>
      </w:pPr>
    </w:p>
    <w:sectPr w:rsidR="008C2BA0" w:rsidRPr="00CA135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B0"/>
    <w:rsid w:val="0003272B"/>
    <w:rsid w:val="008C2BA0"/>
    <w:rsid w:val="00CA135F"/>
    <w:rsid w:val="00FF7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3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44373">
      <w:bodyDiv w:val="1"/>
      <w:marLeft w:val="0"/>
      <w:marRight w:val="0"/>
      <w:marTop w:val="0"/>
      <w:marBottom w:val="0"/>
      <w:divBdr>
        <w:top w:val="none" w:sz="0" w:space="0" w:color="auto"/>
        <w:left w:val="none" w:sz="0" w:space="0" w:color="auto"/>
        <w:bottom w:val="none" w:sz="0" w:space="0" w:color="auto"/>
        <w:right w:val="none" w:sz="0" w:space="0" w:color="auto"/>
      </w:divBdr>
      <w:divsChild>
        <w:div w:id="784931448">
          <w:marLeft w:val="0"/>
          <w:marRight w:val="0"/>
          <w:marTop w:val="0"/>
          <w:marBottom w:val="0"/>
          <w:divBdr>
            <w:top w:val="none" w:sz="0" w:space="0" w:color="auto"/>
            <w:left w:val="none" w:sz="0" w:space="0" w:color="auto"/>
            <w:bottom w:val="none" w:sz="0" w:space="0" w:color="auto"/>
            <w:right w:val="none" w:sz="0" w:space="0" w:color="auto"/>
          </w:divBdr>
        </w:div>
        <w:div w:id="1863204408">
          <w:marLeft w:val="0"/>
          <w:marRight w:val="0"/>
          <w:marTop w:val="0"/>
          <w:marBottom w:val="0"/>
          <w:divBdr>
            <w:top w:val="none" w:sz="0" w:space="0" w:color="auto"/>
            <w:left w:val="none" w:sz="0" w:space="0" w:color="auto"/>
            <w:bottom w:val="none" w:sz="0" w:space="0" w:color="auto"/>
            <w:right w:val="none" w:sz="0" w:space="0" w:color="auto"/>
          </w:divBdr>
        </w:div>
        <w:div w:id="13239374">
          <w:marLeft w:val="0"/>
          <w:marRight w:val="0"/>
          <w:marTop w:val="0"/>
          <w:marBottom w:val="0"/>
          <w:divBdr>
            <w:top w:val="none" w:sz="0" w:space="0" w:color="auto"/>
            <w:left w:val="none" w:sz="0" w:space="0" w:color="auto"/>
            <w:bottom w:val="none" w:sz="0" w:space="0" w:color="auto"/>
            <w:right w:val="none" w:sz="0" w:space="0" w:color="auto"/>
          </w:divBdr>
        </w:div>
        <w:div w:id="707876472">
          <w:marLeft w:val="0"/>
          <w:marRight w:val="0"/>
          <w:marTop w:val="0"/>
          <w:marBottom w:val="0"/>
          <w:divBdr>
            <w:top w:val="none" w:sz="0" w:space="0" w:color="auto"/>
            <w:left w:val="none" w:sz="0" w:space="0" w:color="auto"/>
            <w:bottom w:val="none" w:sz="0" w:space="0" w:color="auto"/>
            <w:right w:val="none" w:sz="0" w:space="0" w:color="auto"/>
          </w:divBdr>
        </w:div>
        <w:div w:id="1835684753">
          <w:marLeft w:val="0"/>
          <w:marRight w:val="0"/>
          <w:marTop w:val="0"/>
          <w:marBottom w:val="0"/>
          <w:divBdr>
            <w:top w:val="none" w:sz="0" w:space="0" w:color="auto"/>
            <w:left w:val="none" w:sz="0" w:space="0" w:color="auto"/>
            <w:bottom w:val="none" w:sz="0" w:space="0" w:color="auto"/>
            <w:right w:val="none" w:sz="0" w:space="0" w:color="auto"/>
          </w:divBdr>
        </w:div>
        <w:div w:id="38016226">
          <w:marLeft w:val="0"/>
          <w:marRight w:val="0"/>
          <w:marTop w:val="0"/>
          <w:marBottom w:val="0"/>
          <w:divBdr>
            <w:top w:val="none" w:sz="0" w:space="0" w:color="auto"/>
            <w:left w:val="none" w:sz="0" w:space="0" w:color="auto"/>
            <w:bottom w:val="none" w:sz="0" w:space="0" w:color="auto"/>
            <w:right w:val="none" w:sz="0" w:space="0" w:color="auto"/>
          </w:divBdr>
        </w:div>
        <w:div w:id="1007173796">
          <w:marLeft w:val="0"/>
          <w:marRight w:val="0"/>
          <w:marTop w:val="0"/>
          <w:marBottom w:val="0"/>
          <w:divBdr>
            <w:top w:val="none" w:sz="0" w:space="0" w:color="auto"/>
            <w:left w:val="none" w:sz="0" w:space="0" w:color="auto"/>
            <w:bottom w:val="none" w:sz="0" w:space="0" w:color="auto"/>
            <w:right w:val="none" w:sz="0" w:space="0" w:color="auto"/>
          </w:divBdr>
        </w:div>
        <w:div w:id="1581212801">
          <w:marLeft w:val="0"/>
          <w:marRight w:val="0"/>
          <w:marTop w:val="0"/>
          <w:marBottom w:val="0"/>
          <w:divBdr>
            <w:top w:val="none" w:sz="0" w:space="0" w:color="auto"/>
            <w:left w:val="none" w:sz="0" w:space="0" w:color="auto"/>
            <w:bottom w:val="none" w:sz="0" w:space="0" w:color="auto"/>
            <w:right w:val="none" w:sz="0" w:space="0" w:color="auto"/>
          </w:divBdr>
        </w:div>
        <w:div w:id="1324165438">
          <w:marLeft w:val="0"/>
          <w:marRight w:val="0"/>
          <w:marTop w:val="0"/>
          <w:marBottom w:val="0"/>
          <w:divBdr>
            <w:top w:val="none" w:sz="0" w:space="0" w:color="auto"/>
            <w:left w:val="none" w:sz="0" w:space="0" w:color="auto"/>
            <w:bottom w:val="none" w:sz="0" w:space="0" w:color="auto"/>
            <w:right w:val="none" w:sz="0" w:space="0" w:color="auto"/>
          </w:divBdr>
        </w:div>
        <w:div w:id="970129821">
          <w:marLeft w:val="0"/>
          <w:marRight w:val="0"/>
          <w:marTop w:val="0"/>
          <w:marBottom w:val="0"/>
          <w:divBdr>
            <w:top w:val="none" w:sz="0" w:space="0" w:color="auto"/>
            <w:left w:val="none" w:sz="0" w:space="0" w:color="auto"/>
            <w:bottom w:val="none" w:sz="0" w:space="0" w:color="auto"/>
            <w:right w:val="none" w:sz="0" w:space="0" w:color="auto"/>
          </w:divBdr>
        </w:div>
        <w:div w:id="1781341931">
          <w:marLeft w:val="0"/>
          <w:marRight w:val="0"/>
          <w:marTop w:val="0"/>
          <w:marBottom w:val="0"/>
          <w:divBdr>
            <w:top w:val="none" w:sz="0" w:space="0" w:color="auto"/>
            <w:left w:val="none" w:sz="0" w:space="0" w:color="auto"/>
            <w:bottom w:val="none" w:sz="0" w:space="0" w:color="auto"/>
            <w:right w:val="none" w:sz="0" w:space="0" w:color="auto"/>
          </w:divBdr>
        </w:div>
      </w:divsChild>
    </w:div>
    <w:div w:id="1955136997">
      <w:bodyDiv w:val="1"/>
      <w:marLeft w:val="0"/>
      <w:marRight w:val="0"/>
      <w:marTop w:val="0"/>
      <w:marBottom w:val="0"/>
      <w:divBdr>
        <w:top w:val="none" w:sz="0" w:space="0" w:color="auto"/>
        <w:left w:val="none" w:sz="0" w:space="0" w:color="auto"/>
        <w:bottom w:val="none" w:sz="0" w:space="0" w:color="auto"/>
        <w:right w:val="none" w:sz="0" w:space="0" w:color="auto"/>
      </w:divBdr>
      <w:divsChild>
        <w:div w:id="742920114">
          <w:marLeft w:val="0"/>
          <w:marRight w:val="0"/>
          <w:marTop w:val="0"/>
          <w:marBottom w:val="0"/>
          <w:divBdr>
            <w:top w:val="none" w:sz="0" w:space="0" w:color="auto"/>
            <w:left w:val="none" w:sz="0" w:space="0" w:color="auto"/>
            <w:bottom w:val="none" w:sz="0" w:space="0" w:color="auto"/>
            <w:right w:val="none" w:sz="0" w:space="0" w:color="auto"/>
          </w:divBdr>
        </w:div>
        <w:div w:id="981234707">
          <w:marLeft w:val="0"/>
          <w:marRight w:val="0"/>
          <w:marTop w:val="0"/>
          <w:marBottom w:val="0"/>
          <w:divBdr>
            <w:top w:val="none" w:sz="0" w:space="0" w:color="auto"/>
            <w:left w:val="none" w:sz="0" w:space="0" w:color="auto"/>
            <w:bottom w:val="none" w:sz="0" w:space="0" w:color="auto"/>
            <w:right w:val="none" w:sz="0" w:space="0" w:color="auto"/>
          </w:divBdr>
        </w:div>
        <w:div w:id="770662721">
          <w:marLeft w:val="0"/>
          <w:marRight w:val="0"/>
          <w:marTop w:val="0"/>
          <w:marBottom w:val="0"/>
          <w:divBdr>
            <w:top w:val="none" w:sz="0" w:space="0" w:color="auto"/>
            <w:left w:val="none" w:sz="0" w:space="0" w:color="auto"/>
            <w:bottom w:val="none" w:sz="0" w:space="0" w:color="auto"/>
            <w:right w:val="none" w:sz="0" w:space="0" w:color="auto"/>
          </w:divBdr>
        </w:div>
        <w:div w:id="547495728">
          <w:marLeft w:val="0"/>
          <w:marRight w:val="0"/>
          <w:marTop w:val="0"/>
          <w:marBottom w:val="0"/>
          <w:divBdr>
            <w:top w:val="none" w:sz="0" w:space="0" w:color="auto"/>
            <w:left w:val="none" w:sz="0" w:space="0" w:color="auto"/>
            <w:bottom w:val="none" w:sz="0" w:space="0" w:color="auto"/>
            <w:right w:val="none" w:sz="0" w:space="0" w:color="auto"/>
          </w:divBdr>
        </w:div>
        <w:div w:id="1973174138">
          <w:marLeft w:val="0"/>
          <w:marRight w:val="0"/>
          <w:marTop w:val="0"/>
          <w:marBottom w:val="0"/>
          <w:divBdr>
            <w:top w:val="none" w:sz="0" w:space="0" w:color="auto"/>
            <w:left w:val="none" w:sz="0" w:space="0" w:color="auto"/>
            <w:bottom w:val="none" w:sz="0" w:space="0" w:color="auto"/>
            <w:right w:val="none" w:sz="0" w:space="0" w:color="auto"/>
          </w:divBdr>
        </w:div>
        <w:div w:id="989793673">
          <w:marLeft w:val="0"/>
          <w:marRight w:val="0"/>
          <w:marTop w:val="0"/>
          <w:marBottom w:val="0"/>
          <w:divBdr>
            <w:top w:val="none" w:sz="0" w:space="0" w:color="auto"/>
            <w:left w:val="none" w:sz="0" w:space="0" w:color="auto"/>
            <w:bottom w:val="none" w:sz="0" w:space="0" w:color="auto"/>
            <w:right w:val="none" w:sz="0" w:space="0" w:color="auto"/>
          </w:divBdr>
        </w:div>
        <w:div w:id="1430078593">
          <w:marLeft w:val="0"/>
          <w:marRight w:val="0"/>
          <w:marTop w:val="0"/>
          <w:marBottom w:val="0"/>
          <w:divBdr>
            <w:top w:val="none" w:sz="0" w:space="0" w:color="auto"/>
            <w:left w:val="none" w:sz="0" w:space="0" w:color="auto"/>
            <w:bottom w:val="none" w:sz="0" w:space="0" w:color="auto"/>
            <w:right w:val="none" w:sz="0" w:space="0" w:color="auto"/>
          </w:divBdr>
        </w:div>
        <w:div w:id="623194810">
          <w:marLeft w:val="0"/>
          <w:marRight w:val="0"/>
          <w:marTop w:val="0"/>
          <w:marBottom w:val="0"/>
          <w:divBdr>
            <w:top w:val="none" w:sz="0" w:space="0" w:color="auto"/>
            <w:left w:val="none" w:sz="0" w:space="0" w:color="auto"/>
            <w:bottom w:val="none" w:sz="0" w:space="0" w:color="auto"/>
            <w:right w:val="none" w:sz="0" w:space="0" w:color="auto"/>
          </w:divBdr>
        </w:div>
        <w:div w:id="742486433">
          <w:marLeft w:val="0"/>
          <w:marRight w:val="0"/>
          <w:marTop w:val="0"/>
          <w:marBottom w:val="0"/>
          <w:divBdr>
            <w:top w:val="none" w:sz="0" w:space="0" w:color="auto"/>
            <w:left w:val="none" w:sz="0" w:space="0" w:color="auto"/>
            <w:bottom w:val="none" w:sz="0" w:space="0" w:color="auto"/>
            <w:right w:val="none" w:sz="0" w:space="0" w:color="auto"/>
          </w:divBdr>
        </w:div>
        <w:div w:id="1194346778">
          <w:marLeft w:val="0"/>
          <w:marRight w:val="0"/>
          <w:marTop w:val="0"/>
          <w:marBottom w:val="0"/>
          <w:divBdr>
            <w:top w:val="none" w:sz="0" w:space="0" w:color="auto"/>
            <w:left w:val="none" w:sz="0" w:space="0" w:color="auto"/>
            <w:bottom w:val="none" w:sz="0" w:space="0" w:color="auto"/>
            <w:right w:val="none" w:sz="0" w:space="0" w:color="auto"/>
          </w:divBdr>
        </w:div>
        <w:div w:id="196642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2020-04-26T11:40:00Z</dcterms:created>
  <dcterms:modified xsi:type="dcterms:W3CDTF">2020-04-26T11:40:00Z</dcterms:modified>
</cp:coreProperties>
</file>