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66" w:rsidRPr="00D91466" w:rsidRDefault="00D91466" w:rsidP="00D91466">
      <w:pPr>
        <w:jc w:val="center"/>
        <w:rPr>
          <w:sz w:val="32"/>
          <w:szCs w:val="32"/>
        </w:rPr>
      </w:pPr>
      <w:bookmarkStart w:id="0" w:name="Anchor1"/>
      <w:bookmarkEnd w:id="0"/>
      <w:r w:rsidRPr="00D91466">
        <w:rPr>
          <w:sz w:val="32"/>
          <w:szCs w:val="32"/>
          <w:rtl/>
        </w:rPr>
        <w:t>الطعن رقم 430 ل</w:t>
      </w:r>
      <w:bookmarkStart w:id="1" w:name="_GoBack"/>
      <w:bookmarkEnd w:id="1"/>
      <w:r w:rsidRPr="00D91466">
        <w:rPr>
          <w:sz w:val="32"/>
          <w:szCs w:val="32"/>
          <w:rtl/>
        </w:rPr>
        <w:t xml:space="preserve">سنة </w:t>
      </w:r>
      <w:r w:rsidRPr="00D91466">
        <w:rPr>
          <w:sz w:val="32"/>
          <w:szCs w:val="32"/>
        </w:rPr>
        <w:t>2013</w:t>
      </w:r>
    </w:p>
    <w:p w:rsidR="00D91466" w:rsidRPr="00D91466" w:rsidRDefault="00D91466" w:rsidP="00D91466">
      <w:pPr>
        <w:rPr>
          <w:sz w:val="32"/>
          <w:szCs w:val="32"/>
        </w:rPr>
      </w:pPr>
      <w:bookmarkStart w:id="2" w:name="Anchor8"/>
      <w:bookmarkEnd w:id="2"/>
      <w:r w:rsidRPr="00D91466">
        <w:rPr>
          <w:sz w:val="32"/>
          <w:szCs w:val="32"/>
          <w:rtl/>
        </w:rPr>
        <w:t>هيئة المحكمة</w:t>
      </w:r>
      <w:r w:rsidRPr="00D91466">
        <w:rPr>
          <w:sz w:val="32"/>
          <w:szCs w:val="32"/>
        </w:rPr>
        <w:t xml:space="preserve">: </w:t>
      </w:r>
      <w:r w:rsidRPr="00D91466">
        <w:rPr>
          <w:sz w:val="32"/>
          <w:szCs w:val="32"/>
          <w:rtl/>
        </w:rPr>
        <w:t>برئاسة السيد المستشار ممدوح القزاز وكيل المحكمة وعضوية السادة المستشارين صلاح الدين كامل وامين طموم وأحمد أبوضيف وعلي مرغني</w:t>
      </w:r>
    </w:p>
    <w:bookmarkStart w:id="3" w:name="Anchor22"/>
    <w:bookmarkEnd w:id="3"/>
    <w:p w:rsidR="00D91466" w:rsidRPr="00D91466" w:rsidRDefault="00D91466" w:rsidP="00D91466">
      <w:pPr>
        <w:rPr>
          <w:sz w:val="32"/>
          <w:szCs w:val="32"/>
        </w:rPr>
      </w:pPr>
      <w:r w:rsidRPr="00D91466">
        <w:rPr>
          <w:sz w:val="32"/>
          <w:szCs w:val="32"/>
        </w:rPr>
        <w:fldChar w:fldCharType="begin"/>
      </w:r>
      <w:r w:rsidRPr="00D91466">
        <w:rPr>
          <w:sz w:val="32"/>
          <w:szCs w:val="32"/>
        </w:rPr>
        <w:instrText xml:space="preserve"> HYPERLINK "http://www.law.gov.kw/KWT_CC-Ar/00_2014/00_%D8%A7%D9%84%D8%AF%D8%A7%D8%A6%D8%B1%D8%A9%20%D8%A7%D9%84%D8%AA%D8%AC%D8%A7%D8%B1%D9%8A%D8%A9/KWT-CC-Ar_2014-04-23_00430_Taan.html" \l "TM2014_430_1" </w:instrText>
      </w:r>
      <w:r w:rsidRPr="00D91466">
        <w:rPr>
          <w:sz w:val="32"/>
          <w:szCs w:val="32"/>
        </w:rPr>
        <w:fldChar w:fldCharType="separate"/>
      </w:r>
      <w:r w:rsidRPr="00D91466">
        <w:rPr>
          <w:rStyle w:val="Hyperlink"/>
          <w:sz w:val="32"/>
          <w:szCs w:val="32"/>
        </w:rPr>
        <w:t xml:space="preserve">1 – </w:t>
      </w:r>
      <w:r w:rsidRPr="00D91466">
        <w:rPr>
          <w:rStyle w:val="Hyperlink"/>
          <w:sz w:val="32"/>
          <w:szCs w:val="32"/>
          <w:rtl/>
        </w:rPr>
        <w:t>ان لمحكمة الموضوع سلطة فهم الواقع في الدعوى وتعرف حقيقتها من الوقائع والأدلة وأعمال الخبراء المقدمة فيها وأقوال الشهود وبحث الدلائل والمستندات وموازنة بعضها بالبعض الآخر وترجيح ما تطمئن اليه منها واطراح ما عداه دون معقب متى أقامت قضاءها على اسباب سائغة</w:t>
      </w:r>
      <w:r w:rsidRPr="00D91466">
        <w:rPr>
          <w:rStyle w:val="Hyperlink"/>
          <w:sz w:val="32"/>
          <w:szCs w:val="32"/>
        </w:rPr>
        <w:t>.</w:t>
      </w:r>
      <w:r w:rsidRPr="00D91466">
        <w:rPr>
          <w:sz w:val="32"/>
          <w:szCs w:val="32"/>
        </w:rPr>
        <w:fldChar w:fldCharType="end"/>
      </w:r>
    </w:p>
    <w:bookmarkStart w:id="4" w:name="Anchor48"/>
    <w:bookmarkEnd w:id="4"/>
    <w:p w:rsidR="00D91466" w:rsidRPr="00D91466" w:rsidRDefault="00D91466" w:rsidP="00D91466">
      <w:pPr>
        <w:rPr>
          <w:sz w:val="32"/>
          <w:szCs w:val="32"/>
        </w:rPr>
      </w:pPr>
      <w:r w:rsidRPr="00D91466">
        <w:rPr>
          <w:sz w:val="32"/>
          <w:szCs w:val="32"/>
        </w:rPr>
        <w:fldChar w:fldCharType="begin"/>
      </w:r>
      <w:r w:rsidRPr="00D91466">
        <w:rPr>
          <w:sz w:val="32"/>
          <w:szCs w:val="32"/>
        </w:rPr>
        <w:instrText xml:space="preserve"> HYPERLINK "http://www.law.gov.kw/KWT_CC-Ar/00_2014/00_%D8%A7%D9%84%D8%AF%D8%A7%D8%A6%D8%B1%D8%A9%20%D8%A7%D9%84%D8%AA%D8%AC%D8%A7%D8%B1%D9%8A%D8%A9/KWT-CC-Ar_2014-04-23_00430_Taan.html" \l "TM2014_430_2" </w:instrText>
      </w:r>
      <w:r w:rsidRPr="00D91466">
        <w:rPr>
          <w:sz w:val="32"/>
          <w:szCs w:val="32"/>
        </w:rPr>
        <w:fldChar w:fldCharType="separate"/>
      </w:r>
      <w:r w:rsidRPr="00D91466">
        <w:rPr>
          <w:rStyle w:val="Hyperlink"/>
          <w:sz w:val="32"/>
          <w:szCs w:val="32"/>
        </w:rPr>
        <w:t xml:space="preserve">2 – </w:t>
      </w:r>
      <w:r w:rsidRPr="00D91466">
        <w:rPr>
          <w:rStyle w:val="Hyperlink"/>
          <w:sz w:val="32"/>
          <w:szCs w:val="32"/>
          <w:rtl/>
        </w:rPr>
        <w:t>ان الشركة المطعون ضدها الثانية ملزمة بتعويض المؤسسة المطعون ضدها الأولى عن قيمة التلفيات التي كانت محملة من قبل الشركة ووقع حادث سيارة ادى الى انقلابها واتلافها وتكون بالتالي ملزمة باعتبارها الناقلة وان سائق السيارة تابعاً لها</w:t>
      </w:r>
      <w:r w:rsidRPr="00D91466">
        <w:rPr>
          <w:rStyle w:val="Hyperlink"/>
          <w:sz w:val="32"/>
          <w:szCs w:val="32"/>
        </w:rPr>
        <w:t>.</w:t>
      </w:r>
      <w:r w:rsidRPr="00D91466">
        <w:rPr>
          <w:sz w:val="32"/>
          <w:szCs w:val="32"/>
        </w:rPr>
        <w:fldChar w:fldCharType="end"/>
      </w:r>
      <w:r w:rsidRPr="00D91466">
        <w:rPr>
          <w:sz w:val="32"/>
          <w:szCs w:val="32"/>
        </w:rPr>
        <w:br/>
      </w:r>
      <w:r w:rsidRPr="00D91466">
        <w:rPr>
          <w:sz w:val="32"/>
          <w:szCs w:val="32"/>
        </w:rPr>
        <w:br/>
      </w:r>
      <w:r w:rsidRPr="00D91466">
        <w:rPr>
          <w:sz w:val="32"/>
          <w:szCs w:val="32"/>
          <w:u w:val="single"/>
          <w:rtl/>
        </w:rPr>
        <w:t>ملاحظة</w:t>
      </w:r>
      <w:r w:rsidRPr="00D91466">
        <w:rPr>
          <w:sz w:val="32"/>
          <w:szCs w:val="32"/>
          <w:u w:val="single"/>
        </w:rPr>
        <w:t xml:space="preserve"> :</w:t>
      </w:r>
      <w:r w:rsidRPr="00D91466">
        <w:rPr>
          <w:sz w:val="32"/>
          <w:szCs w:val="32"/>
        </w:rPr>
        <w:br/>
      </w:r>
      <w:r w:rsidRPr="00D9146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91466" w:rsidRPr="00D91466" w:rsidRDefault="00D91466" w:rsidP="00D91466">
      <w:pPr>
        <w:rPr>
          <w:sz w:val="32"/>
          <w:szCs w:val="32"/>
        </w:rPr>
      </w:pPr>
      <w:bookmarkStart w:id="5" w:name="Anchor73"/>
      <w:bookmarkEnd w:id="5"/>
      <w:r w:rsidRPr="00D91466">
        <w:rPr>
          <w:b/>
          <w:bCs/>
          <w:sz w:val="32"/>
          <w:szCs w:val="32"/>
          <w:rtl/>
        </w:rPr>
        <w:t>المحكمة</w:t>
      </w:r>
    </w:p>
    <w:p w:rsidR="00D91466" w:rsidRPr="00D91466" w:rsidRDefault="00D91466" w:rsidP="00D91466">
      <w:pPr>
        <w:rPr>
          <w:sz w:val="32"/>
          <w:szCs w:val="32"/>
        </w:rPr>
      </w:pPr>
      <w:bookmarkStart w:id="6" w:name="Anchor74"/>
      <w:bookmarkEnd w:id="6"/>
      <w:r w:rsidRPr="00D91466">
        <w:rPr>
          <w:sz w:val="32"/>
          <w:szCs w:val="32"/>
          <w:rtl/>
        </w:rPr>
        <w:t>بعد الاطلاع على الأوراق ، والمداولة</w:t>
      </w:r>
      <w:r w:rsidRPr="00D91466">
        <w:rPr>
          <w:sz w:val="32"/>
          <w:szCs w:val="32"/>
        </w:rPr>
        <w:t>.</w:t>
      </w:r>
    </w:p>
    <w:p w:rsidR="00D91466" w:rsidRPr="00D91466" w:rsidRDefault="00D91466" w:rsidP="00D91466">
      <w:pPr>
        <w:rPr>
          <w:sz w:val="32"/>
          <w:szCs w:val="32"/>
        </w:rPr>
      </w:pPr>
      <w:bookmarkStart w:id="7" w:name="Anchor79"/>
      <w:bookmarkStart w:id="8" w:name="TM2014_430_1"/>
      <w:bookmarkEnd w:id="7"/>
      <w:bookmarkEnd w:id="8"/>
      <w:r w:rsidRPr="00D91466">
        <w:rPr>
          <w:b/>
          <w:bCs/>
          <w:sz w:val="32"/>
          <w:szCs w:val="32"/>
          <w:rtl/>
        </w:rPr>
        <w:t>لما كان من المقرر أن لمحكمة الموضوع السلطة في تحصيل وفهم الواقع في الدعوى وتعرف حقيقتها من الوقائع والأدلة وأعمال الخبراء المقدمة فيها وأقوال الشهود وبحث ما يقدم فيها من الدلائل والمستندات وموازنة بعضها بالبعض الآخر وترجيح ما تطمئن إليه منها وإطراح ما عداه دون معقب عليها في ذلك طالما أقامت قضاءها على أسباب سائغة لها معينها الثابت بالأوراق وتؤدي إلى النتيجة التي انتهت إليها،</w:t>
      </w:r>
    </w:p>
    <w:p w:rsidR="00D91466" w:rsidRPr="00D91466" w:rsidRDefault="00D91466" w:rsidP="00D91466">
      <w:pPr>
        <w:rPr>
          <w:sz w:val="32"/>
          <w:szCs w:val="32"/>
        </w:rPr>
      </w:pPr>
      <w:bookmarkStart w:id="9" w:name="Anchor116"/>
      <w:bookmarkStart w:id="10" w:name="TM2014_430_2"/>
      <w:bookmarkEnd w:id="9"/>
      <w:bookmarkEnd w:id="10"/>
      <w:r w:rsidRPr="00D91466">
        <w:rPr>
          <w:b/>
          <w:bCs/>
          <w:sz w:val="32"/>
          <w:szCs w:val="32"/>
          <w:rtl/>
        </w:rPr>
        <w:t>لما كان ذلك وكان الحكم المطعون فيه المؤيد للحكم الابتدائي قد أقام قضاءه بالزام الشركة المطعون ضدها الثانية في الدعوى الأصلية بأن تؤدي للمطعون ضدها الأولى المبلغ المقضي به، وبالزام الشركة الطاعنة في الدعوى الفرعية</w:t>
      </w:r>
      <w:r w:rsidRPr="00D91466">
        <w:rPr>
          <w:b/>
          <w:bCs/>
          <w:sz w:val="32"/>
          <w:szCs w:val="32"/>
        </w:rPr>
        <w:t xml:space="preserve">- </w:t>
      </w:r>
      <w:r w:rsidRPr="00D91466">
        <w:rPr>
          <w:b/>
          <w:bCs/>
          <w:sz w:val="32"/>
          <w:szCs w:val="32"/>
          <w:rtl/>
        </w:rPr>
        <w:t xml:space="preserve">المدعى عليها فيها- بأن تؤدي للمطعون ضدها الثانية ذات المبلغ على ما خلص إليه من أوراق الدعوى وما قدم فيها من مستندات ومما اطمئن إليه من تقرير الخبير المنتدب فيها وأقوال الشهود وبما له من سلطة تقديرية إلى أن المؤسسة المطعون </w:t>
      </w:r>
      <w:r w:rsidRPr="00D91466">
        <w:rPr>
          <w:b/>
          <w:bCs/>
          <w:sz w:val="32"/>
          <w:szCs w:val="32"/>
          <w:rtl/>
        </w:rPr>
        <w:lastRenderedPageBreak/>
        <w:t>ضدها الاولى اتفقت مع الشركة المطعون ضدها الثانية على أن تقوم الأخيرة بنقل عشرة حاويات بورسلين على سيارتها أنجزت ثمانية منها ووقع حادث للسيارة الأخيرة أدى إلى انقلابها واتلاف الكميات المحملة عليها التي تبلغ 3840 م2 وأن قيمة هذه التلفيات والحاويات تقدر بمبلغ 200,5167 د.ك حسبما انتهى إليه تقرير الخبرة المنتدب ومن ثم تلتزم الشركة المطعون ضدها الثانية بتعويضها عن قيمة هذه التلفيات باعتبارها الناقلة وان سائق السيارة تابعاً لها،</w:t>
      </w:r>
      <w:r w:rsidRPr="00D91466">
        <w:rPr>
          <w:sz w:val="32"/>
          <w:szCs w:val="32"/>
          <w:rtl/>
        </w:rPr>
        <w:t xml:space="preserve"> ولما كانت تلك السيارة مؤمناً عليها لدى الشركة الطاعنة ومن ثم يكون للمطعون ضدها الثانية الرجوع عليها بما عسى أن يحكم عليها لأن الحادث الناتج عن بنشر السيارة مرتكبة الحادث مما يدخل في نطاق التغطية التأمينية لوثيقة التأمين المبرمة بينهما، وكان هذا الاستخلاص من الحكم سائغاً وله أصل ثابت بالأوراق ويكفي لحمله ويؤدي إلى النتيجة إلى التي انتهى إليها ويضحى ما يثيره الطاعن بسببي النعي حول تعييب هذا الاستخلاص لا يعدو أن يكون جدلاً فيما لمحكمة الموضوع سلطة تقديره مما لا يجوز إثارته أمام هذه المحكمة مما يتعين معه التقرير بعدم قبول الطعن عملاً بالمادتين 152، 154/5 من قانون المرافعات</w:t>
      </w:r>
      <w:r w:rsidRPr="00D91466">
        <w:rPr>
          <w:sz w:val="32"/>
          <w:szCs w:val="32"/>
        </w:rPr>
        <w:t xml:space="preserve">. </w:t>
      </w:r>
    </w:p>
    <w:p w:rsidR="00D91466" w:rsidRPr="00D91466" w:rsidRDefault="00D91466" w:rsidP="00D91466">
      <w:pPr>
        <w:rPr>
          <w:sz w:val="32"/>
          <w:szCs w:val="32"/>
        </w:rPr>
      </w:pPr>
      <w:bookmarkStart w:id="11" w:name="Anchor249"/>
      <w:bookmarkEnd w:id="11"/>
      <w:r w:rsidRPr="00D91466">
        <w:rPr>
          <w:b/>
          <w:bCs/>
          <w:sz w:val="32"/>
          <w:szCs w:val="32"/>
          <w:rtl/>
        </w:rPr>
        <w:t>لذلك</w:t>
      </w:r>
    </w:p>
    <w:p w:rsidR="00D91466" w:rsidRPr="00D91466" w:rsidRDefault="00D91466" w:rsidP="00D91466">
      <w:pPr>
        <w:rPr>
          <w:sz w:val="32"/>
          <w:szCs w:val="32"/>
        </w:rPr>
      </w:pPr>
      <w:bookmarkStart w:id="12" w:name="Anchor250"/>
      <w:bookmarkEnd w:id="12"/>
      <w:r w:rsidRPr="00D91466">
        <w:rPr>
          <w:sz w:val="32"/>
          <w:szCs w:val="32"/>
          <w:rtl/>
        </w:rPr>
        <w:t>قررت المحكمة - في غرفة المشورة</w:t>
      </w:r>
      <w:r w:rsidRPr="00D91466">
        <w:rPr>
          <w:sz w:val="32"/>
          <w:szCs w:val="32"/>
        </w:rPr>
        <w:t xml:space="preserve"> - </w:t>
      </w:r>
      <w:r w:rsidRPr="00D91466">
        <w:rPr>
          <w:sz w:val="32"/>
          <w:szCs w:val="32"/>
          <w:rtl/>
        </w:rPr>
        <w:t>عدم قبول الطعن وألزمت الطاعنة المصروفات مع مصادرة الكفالة</w:t>
      </w:r>
      <w:r w:rsidRPr="00D91466">
        <w:rPr>
          <w:sz w:val="32"/>
          <w:szCs w:val="32"/>
        </w:rPr>
        <w:t>.</w:t>
      </w:r>
    </w:p>
    <w:p w:rsidR="00D91466" w:rsidRPr="00D91466" w:rsidRDefault="00D91466" w:rsidP="00D91466">
      <w:pPr>
        <w:rPr>
          <w:sz w:val="32"/>
          <w:szCs w:val="32"/>
        </w:rPr>
      </w:pPr>
    </w:p>
    <w:p w:rsidR="00D91466" w:rsidRPr="00D91466" w:rsidRDefault="00D91466" w:rsidP="00D91466">
      <w:pPr>
        <w:rPr>
          <w:sz w:val="32"/>
          <w:szCs w:val="32"/>
        </w:rPr>
      </w:pPr>
      <w:bookmarkStart w:id="13" w:name="Anchor259"/>
      <w:bookmarkEnd w:id="13"/>
      <w:r w:rsidRPr="00D91466">
        <w:rPr>
          <w:sz w:val="32"/>
          <w:szCs w:val="32"/>
        </w:rPr>
        <w:t>* * *</w:t>
      </w:r>
    </w:p>
    <w:p w:rsidR="00D32E0F" w:rsidRPr="00D91466" w:rsidRDefault="00D32E0F">
      <w:pPr>
        <w:rPr>
          <w:sz w:val="32"/>
          <w:szCs w:val="32"/>
        </w:rPr>
      </w:pPr>
    </w:p>
    <w:sectPr w:rsidR="00D32E0F" w:rsidRPr="00D9146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A5"/>
    <w:rsid w:val="0003272B"/>
    <w:rsid w:val="005648A5"/>
    <w:rsid w:val="00D32E0F"/>
    <w:rsid w:val="00D91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7312">
      <w:bodyDiv w:val="1"/>
      <w:marLeft w:val="0"/>
      <w:marRight w:val="0"/>
      <w:marTop w:val="0"/>
      <w:marBottom w:val="0"/>
      <w:divBdr>
        <w:top w:val="none" w:sz="0" w:space="0" w:color="auto"/>
        <w:left w:val="none" w:sz="0" w:space="0" w:color="auto"/>
        <w:bottom w:val="none" w:sz="0" w:space="0" w:color="auto"/>
        <w:right w:val="none" w:sz="0" w:space="0" w:color="auto"/>
      </w:divBdr>
      <w:divsChild>
        <w:div w:id="465587381">
          <w:marLeft w:val="0"/>
          <w:marRight w:val="0"/>
          <w:marTop w:val="0"/>
          <w:marBottom w:val="0"/>
          <w:divBdr>
            <w:top w:val="none" w:sz="0" w:space="0" w:color="auto"/>
            <w:left w:val="none" w:sz="0" w:space="0" w:color="auto"/>
            <w:bottom w:val="none" w:sz="0" w:space="0" w:color="auto"/>
            <w:right w:val="none" w:sz="0" w:space="0" w:color="auto"/>
          </w:divBdr>
        </w:div>
        <w:div w:id="1213881699">
          <w:marLeft w:val="0"/>
          <w:marRight w:val="0"/>
          <w:marTop w:val="0"/>
          <w:marBottom w:val="0"/>
          <w:divBdr>
            <w:top w:val="none" w:sz="0" w:space="0" w:color="auto"/>
            <w:left w:val="none" w:sz="0" w:space="0" w:color="auto"/>
            <w:bottom w:val="none" w:sz="0" w:space="0" w:color="auto"/>
            <w:right w:val="none" w:sz="0" w:space="0" w:color="auto"/>
          </w:divBdr>
        </w:div>
        <w:div w:id="1270553834">
          <w:marLeft w:val="0"/>
          <w:marRight w:val="0"/>
          <w:marTop w:val="0"/>
          <w:marBottom w:val="0"/>
          <w:divBdr>
            <w:top w:val="none" w:sz="0" w:space="0" w:color="auto"/>
            <w:left w:val="none" w:sz="0" w:space="0" w:color="auto"/>
            <w:bottom w:val="none" w:sz="0" w:space="0" w:color="auto"/>
            <w:right w:val="none" w:sz="0" w:space="0" w:color="auto"/>
          </w:divBdr>
        </w:div>
        <w:div w:id="983661820">
          <w:marLeft w:val="0"/>
          <w:marRight w:val="0"/>
          <w:marTop w:val="0"/>
          <w:marBottom w:val="0"/>
          <w:divBdr>
            <w:top w:val="none" w:sz="0" w:space="0" w:color="auto"/>
            <w:left w:val="none" w:sz="0" w:space="0" w:color="auto"/>
            <w:bottom w:val="none" w:sz="0" w:space="0" w:color="auto"/>
            <w:right w:val="none" w:sz="0" w:space="0" w:color="auto"/>
          </w:divBdr>
        </w:div>
        <w:div w:id="44378750">
          <w:marLeft w:val="0"/>
          <w:marRight w:val="0"/>
          <w:marTop w:val="0"/>
          <w:marBottom w:val="0"/>
          <w:divBdr>
            <w:top w:val="none" w:sz="0" w:space="0" w:color="auto"/>
            <w:left w:val="none" w:sz="0" w:space="0" w:color="auto"/>
            <w:bottom w:val="none" w:sz="0" w:space="0" w:color="auto"/>
            <w:right w:val="none" w:sz="0" w:space="0" w:color="auto"/>
          </w:divBdr>
        </w:div>
        <w:div w:id="667094524">
          <w:marLeft w:val="0"/>
          <w:marRight w:val="0"/>
          <w:marTop w:val="0"/>
          <w:marBottom w:val="0"/>
          <w:divBdr>
            <w:top w:val="none" w:sz="0" w:space="0" w:color="auto"/>
            <w:left w:val="none" w:sz="0" w:space="0" w:color="auto"/>
            <w:bottom w:val="none" w:sz="0" w:space="0" w:color="auto"/>
            <w:right w:val="none" w:sz="0" w:space="0" w:color="auto"/>
          </w:divBdr>
        </w:div>
        <w:div w:id="186725486">
          <w:marLeft w:val="0"/>
          <w:marRight w:val="0"/>
          <w:marTop w:val="0"/>
          <w:marBottom w:val="0"/>
          <w:divBdr>
            <w:top w:val="none" w:sz="0" w:space="0" w:color="auto"/>
            <w:left w:val="none" w:sz="0" w:space="0" w:color="auto"/>
            <w:bottom w:val="none" w:sz="0" w:space="0" w:color="auto"/>
            <w:right w:val="none" w:sz="0" w:space="0" w:color="auto"/>
          </w:divBdr>
        </w:div>
        <w:div w:id="1692225092">
          <w:marLeft w:val="0"/>
          <w:marRight w:val="0"/>
          <w:marTop w:val="0"/>
          <w:marBottom w:val="0"/>
          <w:divBdr>
            <w:top w:val="none" w:sz="0" w:space="0" w:color="auto"/>
            <w:left w:val="none" w:sz="0" w:space="0" w:color="auto"/>
            <w:bottom w:val="none" w:sz="0" w:space="0" w:color="auto"/>
            <w:right w:val="none" w:sz="0" w:space="0" w:color="auto"/>
          </w:divBdr>
        </w:div>
        <w:div w:id="621034599">
          <w:marLeft w:val="0"/>
          <w:marRight w:val="0"/>
          <w:marTop w:val="0"/>
          <w:marBottom w:val="0"/>
          <w:divBdr>
            <w:top w:val="none" w:sz="0" w:space="0" w:color="auto"/>
            <w:left w:val="none" w:sz="0" w:space="0" w:color="auto"/>
            <w:bottom w:val="none" w:sz="0" w:space="0" w:color="auto"/>
            <w:right w:val="none" w:sz="0" w:space="0" w:color="auto"/>
          </w:divBdr>
        </w:div>
        <w:div w:id="1532107168">
          <w:marLeft w:val="0"/>
          <w:marRight w:val="0"/>
          <w:marTop w:val="0"/>
          <w:marBottom w:val="0"/>
          <w:divBdr>
            <w:top w:val="none" w:sz="0" w:space="0" w:color="auto"/>
            <w:left w:val="none" w:sz="0" w:space="0" w:color="auto"/>
            <w:bottom w:val="none" w:sz="0" w:space="0" w:color="auto"/>
            <w:right w:val="none" w:sz="0" w:space="0" w:color="auto"/>
          </w:divBdr>
        </w:div>
        <w:div w:id="531725708">
          <w:marLeft w:val="0"/>
          <w:marRight w:val="0"/>
          <w:marTop w:val="0"/>
          <w:marBottom w:val="0"/>
          <w:divBdr>
            <w:top w:val="none" w:sz="0" w:space="0" w:color="auto"/>
            <w:left w:val="none" w:sz="0" w:space="0" w:color="auto"/>
            <w:bottom w:val="none" w:sz="0" w:space="0" w:color="auto"/>
            <w:right w:val="none" w:sz="0" w:space="0" w:color="auto"/>
          </w:divBdr>
        </w:div>
      </w:divsChild>
    </w:div>
    <w:div w:id="1086460773">
      <w:bodyDiv w:val="1"/>
      <w:marLeft w:val="0"/>
      <w:marRight w:val="0"/>
      <w:marTop w:val="0"/>
      <w:marBottom w:val="0"/>
      <w:divBdr>
        <w:top w:val="none" w:sz="0" w:space="0" w:color="auto"/>
        <w:left w:val="none" w:sz="0" w:space="0" w:color="auto"/>
        <w:bottom w:val="none" w:sz="0" w:space="0" w:color="auto"/>
        <w:right w:val="none" w:sz="0" w:space="0" w:color="auto"/>
      </w:divBdr>
      <w:divsChild>
        <w:div w:id="343947666">
          <w:marLeft w:val="0"/>
          <w:marRight w:val="0"/>
          <w:marTop w:val="0"/>
          <w:marBottom w:val="0"/>
          <w:divBdr>
            <w:top w:val="none" w:sz="0" w:space="0" w:color="auto"/>
            <w:left w:val="none" w:sz="0" w:space="0" w:color="auto"/>
            <w:bottom w:val="none" w:sz="0" w:space="0" w:color="auto"/>
            <w:right w:val="none" w:sz="0" w:space="0" w:color="auto"/>
          </w:divBdr>
        </w:div>
        <w:div w:id="775371321">
          <w:marLeft w:val="0"/>
          <w:marRight w:val="0"/>
          <w:marTop w:val="0"/>
          <w:marBottom w:val="0"/>
          <w:divBdr>
            <w:top w:val="none" w:sz="0" w:space="0" w:color="auto"/>
            <w:left w:val="none" w:sz="0" w:space="0" w:color="auto"/>
            <w:bottom w:val="none" w:sz="0" w:space="0" w:color="auto"/>
            <w:right w:val="none" w:sz="0" w:space="0" w:color="auto"/>
          </w:divBdr>
        </w:div>
        <w:div w:id="775950832">
          <w:marLeft w:val="0"/>
          <w:marRight w:val="0"/>
          <w:marTop w:val="0"/>
          <w:marBottom w:val="0"/>
          <w:divBdr>
            <w:top w:val="none" w:sz="0" w:space="0" w:color="auto"/>
            <w:left w:val="none" w:sz="0" w:space="0" w:color="auto"/>
            <w:bottom w:val="none" w:sz="0" w:space="0" w:color="auto"/>
            <w:right w:val="none" w:sz="0" w:space="0" w:color="auto"/>
          </w:divBdr>
        </w:div>
        <w:div w:id="618337627">
          <w:marLeft w:val="0"/>
          <w:marRight w:val="0"/>
          <w:marTop w:val="0"/>
          <w:marBottom w:val="0"/>
          <w:divBdr>
            <w:top w:val="none" w:sz="0" w:space="0" w:color="auto"/>
            <w:left w:val="none" w:sz="0" w:space="0" w:color="auto"/>
            <w:bottom w:val="none" w:sz="0" w:space="0" w:color="auto"/>
            <w:right w:val="none" w:sz="0" w:space="0" w:color="auto"/>
          </w:divBdr>
        </w:div>
        <w:div w:id="1146358094">
          <w:marLeft w:val="0"/>
          <w:marRight w:val="0"/>
          <w:marTop w:val="0"/>
          <w:marBottom w:val="0"/>
          <w:divBdr>
            <w:top w:val="none" w:sz="0" w:space="0" w:color="auto"/>
            <w:left w:val="none" w:sz="0" w:space="0" w:color="auto"/>
            <w:bottom w:val="none" w:sz="0" w:space="0" w:color="auto"/>
            <w:right w:val="none" w:sz="0" w:space="0" w:color="auto"/>
          </w:divBdr>
        </w:div>
        <w:div w:id="2054840134">
          <w:marLeft w:val="0"/>
          <w:marRight w:val="0"/>
          <w:marTop w:val="0"/>
          <w:marBottom w:val="0"/>
          <w:divBdr>
            <w:top w:val="none" w:sz="0" w:space="0" w:color="auto"/>
            <w:left w:val="none" w:sz="0" w:space="0" w:color="auto"/>
            <w:bottom w:val="none" w:sz="0" w:space="0" w:color="auto"/>
            <w:right w:val="none" w:sz="0" w:space="0" w:color="auto"/>
          </w:divBdr>
        </w:div>
        <w:div w:id="837697931">
          <w:marLeft w:val="0"/>
          <w:marRight w:val="0"/>
          <w:marTop w:val="0"/>
          <w:marBottom w:val="0"/>
          <w:divBdr>
            <w:top w:val="none" w:sz="0" w:space="0" w:color="auto"/>
            <w:left w:val="none" w:sz="0" w:space="0" w:color="auto"/>
            <w:bottom w:val="none" w:sz="0" w:space="0" w:color="auto"/>
            <w:right w:val="none" w:sz="0" w:space="0" w:color="auto"/>
          </w:divBdr>
        </w:div>
        <w:div w:id="18625673">
          <w:marLeft w:val="0"/>
          <w:marRight w:val="0"/>
          <w:marTop w:val="0"/>
          <w:marBottom w:val="0"/>
          <w:divBdr>
            <w:top w:val="none" w:sz="0" w:space="0" w:color="auto"/>
            <w:left w:val="none" w:sz="0" w:space="0" w:color="auto"/>
            <w:bottom w:val="none" w:sz="0" w:space="0" w:color="auto"/>
            <w:right w:val="none" w:sz="0" w:space="0" w:color="auto"/>
          </w:divBdr>
        </w:div>
        <w:div w:id="187258996">
          <w:marLeft w:val="0"/>
          <w:marRight w:val="0"/>
          <w:marTop w:val="0"/>
          <w:marBottom w:val="0"/>
          <w:divBdr>
            <w:top w:val="none" w:sz="0" w:space="0" w:color="auto"/>
            <w:left w:val="none" w:sz="0" w:space="0" w:color="auto"/>
            <w:bottom w:val="none" w:sz="0" w:space="0" w:color="auto"/>
            <w:right w:val="none" w:sz="0" w:space="0" w:color="auto"/>
          </w:divBdr>
        </w:div>
        <w:div w:id="1920669475">
          <w:marLeft w:val="0"/>
          <w:marRight w:val="0"/>
          <w:marTop w:val="0"/>
          <w:marBottom w:val="0"/>
          <w:divBdr>
            <w:top w:val="none" w:sz="0" w:space="0" w:color="auto"/>
            <w:left w:val="none" w:sz="0" w:space="0" w:color="auto"/>
            <w:bottom w:val="none" w:sz="0" w:space="0" w:color="auto"/>
            <w:right w:val="none" w:sz="0" w:space="0" w:color="auto"/>
          </w:divBdr>
        </w:div>
        <w:div w:id="67511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2020-04-26T12:44:00Z</dcterms:created>
  <dcterms:modified xsi:type="dcterms:W3CDTF">2020-04-26T12:44:00Z</dcterms:modified>
</cp:coreProperties>
</file>