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3F4" w:rsidRPr="00FE73F4" w:rsidRDefault="00FE73F4" w:rsidP="00FE73F4">
      <w:pPr>
        <w:jc w:val="center"/>
        <w:rPr>
          <w:sz w:val="32"/>
          <w:szCs w:val="32"/>
        </w:rPr>
      </w:pPr>
      <w:bookmarkStart w:id="0" w:name="Anchor1"/>
      <w:bookmarkEnd w:id="0"/>
      <w:r w:rsidRPr="00FE73F4">
        <w:rPr>
          <w:sz w:val="32"/>
          <w:szCs w:val="32"/>
          <w:rtl/>
        </w:rPr>
        <w:t>الطعن ر</w:t>
      </w:r>
      <w:bookmarkStart w:id="1" w:name="_GoBack"/>
      <w:bookmarkEnd w:id="1"/>
      <w:r w:rsidRPr="00FE73F4">
        <w:rPr>
          <w:sz w:val="32"/>
          <w:szCs w:val="32"/>
          <w:rtl/>
        </w:rPr>
        <w:t xml:space="preserve">قم </w:t>
      </w:r>
      <w:r w:rsidRPr="00FE73F4">
        <w:rPr>
          <w:sz w:val="32"/>
          <w:szCs w:val="32"/>
        </w:rPr>
        <w:t>485/2013</w:t>
      </w:r>
    </w:p>
    <w:p w:rsidR="00FE73F4" w:rsidRPr="00FE73F4" w:rsidRDefault="00FE73F4" w:rsidP="00FE73F4">
      <w:pPr>
        <w:rPr>
          <w:sz w:val="32"/>
          <w:szCs w:val="32"/>
        </w:rPr>
      </w:pPr>
      <w:bookmarkStart w:id="2" w:name="Anchor7"/>
      <w:bookmarkEnd w:id="2"/>
      <w:r w:rsidRPr="00FE73F4">
        <w:rPr>
          <w:sz w:val="32"/>
          <w:szCs w:val="32"/>
          <w:rtl/>
        </w:rPr>
        <w:t>هيئة المحكمة</w:t>
      </w:r>
      <w:r w:rsidRPr="00FE73F4">
        <w:rPr>
          <w:sz w:val="32"/>
          <w:szCs w:val="32"/>
        </w:rPr>
        <w:t xml:space="preserve">: </w:t>
      </w:r>
      <w:r w:rsidRPr="00FE73F4">
        <w:rPr>
          <w:sz w:val="32"/>
          <w:szCs w:val="32"/>
          <w:rtl/>
        </w:rPr>
        <w:t>برئاسة السيد المستشار عبد الهادي العطار رئيس الجلسة وعضوية السادة المستشارين يحيى مومية</w:t>
      </w:r>
    </w:p>
    <w:p w:rsidR="00FE73F4" w:rsidRPr="00FE73F4" w:rsidRDefault="00FE73F4" w:rsidP="00FE73F4">
      <w:pPr>
        <w:rPr>
          <w:sz w:val="32"/>
          <w:szCs w:val="32"/>
        </w:rPr>
      </w:pPr>
      <w:bookmarkStart w:id="3" w:name="Anchor19"/>
      <w:bookmarkEnd w:id="3"/>
      <w:r w:rsidRPr="00FE73F4">
        <w:rPr>
          <w:sz w:val="32"/>
          <w:szCs w:val="32"/>
          <w:rtl/>
        </w:rPr>
        <w:t>ومحمود عطا وناصر مشالي ومحمود عبداللطيف</w:t>
      </w:r>
    </w:p>
    <w:bookmarkStart w:id="4" w:name="Anchor23"/>
    <w:bookmarkEnd w:id="4"/>
    <w:p w:rsidR="00FE73F4" w:rsidRPr="00FE73F4" w:rsidRDefault="00FE73F4" w:rsidP="00FE73F4">
      <w:pPr>
        <w:rPr>
          <w:sz w:val="32"/>
          <w:szCs w:val="32"/>
        </w:rPr>
      </w:pPr>
      <w:r w:rsidRPr="00FE73F4">
        <w:rPr>
          <w:sz w:val="32"/>
          <w:szCs w:val="32"/>
        </w:rPr>
        <w:fldChar w:fldCharType="begin"/>
      </w:r>
      <w:r w:rsidRPr="00FE73F4">
        <w:rPr>
          <w:sz w:val="32"/>
          <w:szCs w:val="32"/>
        </w:rPr>
        <w:instrText xml:space="preserve"> HYPERLINK "http://www.law.gov.kw/KWT_CC-Ar/00_2014/00_%D8%A7%D9%84%D8%AF%D8%A7%D8%A6%D8%B1%D8%A9%20%D8%A7%D9%84%D8%AA%D8%AC%D8%A7%D8%B1%D9%8A%D8%A9/KWT-CC-Ar_2014-06-25_00485_Taan.html" \l "TM2014_485_1" </w:instrText>
      </w:r>
      <w:r w:rsidRPr="00FE73F4">
        <w:rPr>
          <w:sz w:val="32"/>
          <w:szCs w:val="32"/>
        </w:rPr>
        <w:fldChar w:fldCharType="separate"/>
      </w:r>
      <w:r w:rsidRPr="00FE73F4">
        <w:rPr>
          <w:rStyle w:val="Hyperlink"/>
          <w:sz w:val="32"/>
          <w:szCs w:val="32"/>
        </w:rPr>
        <w:t xml:space="preserve">1- </w:t>
      </w:r>
      <w:r w:rsidRPr="00FE73F4">
        <w:rPr>
          <w:rStyle w:val="Hyperlink"/>
          <w:sz w:val="32"/>
          <w:szCs w:val="32"/>
          <w:rtl/>
        </w:rPr>
        <w:t>إن للمتعاقدين حرية تعديل قواعد المسئولية العقدية التي انشأتها ارادتهما الحرة وذلك في حدود القانون وقواعد النظام العام</w:t>
      </w:r>
      <w:r w:rsidRPr="00FE73F4">
        <w:rPr>
          <w:rStyle w:val="Hyperlink"/>
          <w:sz w:val="32"/>
          <w:szCs w:val="32"/>
        </w:rPr>
        <w:t>.</w:t>
      </w:r>
      <w:r w:rsidRPr="00FE73F4">
        <w:rPr>
          <w:sz w:val="32"/>
          <w:szCs w:val="32"/>
        </w:rPr>
        <w:fldChar w:fldCharType="end"/>
      </w:r>
    </w:p>
    <w:bookmarkStart w:id="5" w:name="Anchor37"/>
    <w:bookmarkEnd w:id="5"/>
    <w:p w:rsidR="00FE73F4" w:rsidRPr="00FE73F4" w:rsidRDefault="00FE73F4" w:rsidP="00FE73F4">
      <w:pPr>
        <w:rPr>
          <w:sz w:val="32"/>
          <w:szCs w:val="32"/>
        </w:rPr>
      </w:pPr>
      <w:r w:rsidRPr="00FE73F4">
        <w:rPr>
          <w:sz w:val="32"/>
          <w:szCs w:val="32"/>
        </w:rPr>
        <w:fldChar w:fldCharType="begin"/>
      </w:r>
      <w:r w:rsidRPr="00FE73F4">
        <w:rPr>
          <w:sz w:val="32"/>
          <w:szCs w:val="32"/>
        </w:rPr>
        <w:instrText xml:space="preserve"> HYPERLINK "http://www.law.gov.kw/KWT_CC-Ar/00_2014/00_%D8%A7%D9%84%D8%AF%D8%A7%D8%A6%D8%B1%D8%A9%20%D8%A7%D9%84%D8%AA%D8%AC%D8%A7%D8%B1%D9%8A%D8%A9/KWT-CC-Ar_2014-06-25_00485_Taan.html" \l "TM2014_485_2" </w:instrText>
      </w:r>
      <w:r w:rsidRPr="00FE73F4">
        <w:rPr>
          <w:sz w:val="32"/>
          <w:szCs w:val="32"/>
        </w:rPr>
        <w:fldChar w:fldCharType="separate"/>
      </w:r>
      <w:r w:rsidRPr="00FE73F4">
        <w:rPr>
          <w:rStyle w:val="Hyperlink"/>
          <w:sz w:val="32"/>
          <w:szCs w:val="32"/>
        </w:rPr>
        <w:t xml:space="preserve">2- </w:t>
      </w:r>
      <w:r w:rsidRPr="00FE73F4">
        <w:rPr>
          <w:rStyle w:val="Hyperlink"/>
          <w:sz w:val="32"/>
          <w:szCs w:val="32"/>
          <w:rtl/>
        </w:rPr>
        <w:t>إن للاحتجاج على المؤمن له بالشروط المتعلقة بالبطلان او السقوط او بالتحكيم يشترط ان تكون مبرزة بطريقة مميزة في الوثيقة واذا كان استثناء الاعمال المخالفة للقوانين واللوائح من نطاق التأمين غير محدداً لا يعتد به</w:t>
      </w:r>
      <w:r w:rsidRPr="00FE73F4">
        <w:rPr>
          <w:rStyle w:val="Hyperlink"/>
          <w:sz w:val="32"/>
          <w:szCs w:val="32"/>
        </w:rPr>
        <w:t>.</w:t>
      </w:r>
      <w:r w:rsidRPr="00FE73F4">
        <w:rPr>
          <w:sz w:val="32"/>
          <w:szCs w:val="32"/>
        </w:rPr>
        <w:fldChar w:fldCharType="end"/>
      </w:r>
    </w:p>
    <w:bookmarkStart w:id="6" w:name="Anchor61"/>
    <w:bookmarkEnd w:id="6"/>
    <w:p w:rsidR="00FE73F4" w:rsidRPr="00FE73F4" w:rsidRDefault="00FE73F4" w:rsidP="00FE73F4">
      <w:pPr>
        <w:rPr>
          <w:sz w:val="32"/>
          <w:szCs w:val="32"/>
        </w:rPr>
      </w:pPr>
      <w:r w:rsidRPr="00FE73F4">
        <w:rPr>
          <w:sz w:val="32"/>
          <w:szCs w:val="32"/>
        </w:rPr>
        <w:fldChar w:fldCharType="begin"/>
      </w:r>
      <w:r w:rsidRPr="00FE73F4">
        <w:rPr>
          <w:sz w:val="32"/>
          <w:szCs w:val="32"/>
        </w:rPr>
        <w:instrText xml:space="preserve"> HYPERLINK "http://www.law.gov.kw/KWT_CC-Ar/00_2014/00_%D8%A7%D9%84%D8%AF%D8%A7%D8%A6%D8%B1%D8%A9%20%D8%A7%D9%84%D8%AA%D8%AC%D8%A7%D8%B1%D9%8A%D8%A9/KWT-CC-Ar_2014-06-25_00485_Taan.html" \l "TM2014_485_3" </w:instrText>
      </w:r>
      <w:r w:rsidRPr="00FE73F4">
        <w:rPr>
          <w:sz w:val="32"/>
          <w:szCs w:val="32"/>
        </w:rPr>
        <w:fldChar w:fldCharType="separate"/>
      </w:r>
      <w:r w:rsidRPr="00FE73F4">
        <w:rPr>
          <w:rStyle w:val="Hyperlink"/>
          <w:sz w:val="32"/>
          <w:szCs w:val="32"/>
        </w:rPr>
        <w:t xml:space="preserve">3- </w:t>
      </w:r>
      <w:r w:rsidRPr="00FE73F4">
        <w:rPr>
          <w:rStyle w:val="Hyperlink"/>
          <w:sz w:val="32"/>
          <w:szCs w:val="32"/>
          <w:rtl/>
        </w:rPr>
        <w:t>إن المؤمن اذا ذكر على وجه التحديد المخالفة التي يستثنيها من نطاق التأمين يكون هذا الاستثناء صحيحاً وتخرج المخالفة المستثناة من نطاق التأمين لانه استثناء محدد لا ابهام فيه</w:t>
      </w:r>
      <w:r w:rsidRPr="00FE73F4">
        <w:rPr>
          <w:rStyle w:val="Hyperlink"/>
          <w:sz w:val="32"/>
          <w:szCs w:val="32"/>
        </w:rPr>
        <w:t>.</w:t>
      </w:r>
      <w:r w:rsidRPr="00FE73F4">
        <w:rPr>
          <w:sz w:val="32"/>
          <w:szCs w:val="32"/>
        </w:rPr>
        <w:fldChar w:fldCharType="end"/>
      </w:r>
    </w:p>
    <w:bookmarkStart w:id="7" w:name="Anchor79"/>
    <w:bookmarkEnd w:id="7"/>
    <w:p w:rsidR="00FE73F4" w:rsidRPr="00FE73F4" w:rsidRDefault="00FE73F4" w:rsidP="00FE73F4">
      <w:pPr>
        <w:rPr>
          <w:sz w:val="32"/>
          <w:szCs w:val="32"/>
        </w:rPr>
      </w:pPr>
      <w:r w:rsidRPr="00FE73F4">
        <w:rPr>
          <w:sz w:val="32"/>
          <w:szCs w:val="32"/>
        </w:rPr>
        <w:fldChar w:fldCharType="begin"/>
      </w:r>
      <w:r w:rsidRPr="00FE73F4">
        <w:rPr>
          <w:sz w:val="32"/>
          <w:szCs w:val="32"/>
        </w:rPr>
        <w:instrText xml:space="preserve"> HYPERLINK "http://www.law.gov.kw/KWT_CC-Ar/00_2014/00_%D8%A7%D9%84%D8%AF%D8%A7%D8%A6%D8%B1%D8%A9%20%D8%A7%D9%84%D8%AA%D8%AC%D8%A7%D8%B1%D9%8A%D8%A9/KWT-CC-Ar_2014-06-25_00485_Taan.html" \l "TM2014_485_4" </w:instrText>
      </w:r>
      <w:r w:rsidRPr="00FE73F4">
        <w:rPr>
          <w:sz w:val="32"/>
          <w:szCs w:val="32"/>
        </w:rPr>
        <w:fldChar w:fldCharType="separate"/>
      </w:r>
      <w:r w:rsidRPr="00FE73F4">
        <w:rPr>
          <w:rStyle w:val="Hyperlink"/>
          <w:sz w:val="32"/>
          <w:szCs w:val="32"/>
        </w:rPr>
        <w:t xml:space="preserve">4- </w:t>
      </w:r>
      <w:r w:rsidRPr="00FE73F4">
        <w:rPr>
          <w:rStyle w:val="Hyperlink"/>
          <w:sz w:val="32"/>
          <w:szCs w:val="32"/>
          <w:rtl/>
        </w:rPr>
        <w:t>إن للمضرور الرجوع مباشرة على المؤمن اذا كانت الوثيقة تتضمن اشتراطاً لمصلحة الغير الا انه يجوز للمؤمن ان يحتج على حامل الوثيقة او على الشخص الذي يتمسك بها بكل الدفوع التي يكون له ان يحتج بها ضد المؤمن له</w:t>
      </w:r>
      <w:r w:rsidRPr="00FE73F4">
        <w:rPr>
          <w:rStyle w:val="Hyperlink"/>
          <w:sz w:val="32"/>
          <w:szCs w:val="32"/>
        </w:rPr>
        <w:t>.</w:t>
      </w:r>
      <w:r w:rsidRPr="00FE73F4">
        <w:rPr>
          <w:sz w:val="32"/>
          <w:szCs w:val="32"/>
        </w:rPr>
        <w:fldChar w:fldCharType="end"/>
      </w:r>
      <w:r w:rsidRPr="00FE73F4">
        <w:rPr>
          <w:sz w:val="32"/>
          <w:szCs w:val="32"/>
        </w:rPr>
        <w:br/>
      </w:r>
      <w:r w:rsidRPr="00FE73F4">
        <w:rPr>
          <w:sz w:val="32"/>
          <w:szCs w:val="32"/>
        </w:rPr>
        <w:br/>
      </w:r>
      <w:r w:rsidRPr="00FE73F4">
        <w:rPr>
          <w:sz w:val="32"/>
          <w:szCs w:val="32"/>
          <w:u w:val="single"/>
          <w:rtl/>
        </w:rPr>
        <w:t>ملاحظة</w:t>
      </w:r>
      <w:r w:rsidRPr="00FE73F4">
        <w:rPr>
          <w:sz w:val="32"/>
          <w:szCs w:val="32"/>
          <w:u w:val="single"/>
        </w:rPr>
        <w:t xml:space="preserve"> :</w:t>
      </w:r>
      <w:r w:rsidRPr="00FE73F4">
        <w:rPr>
          <w:sz w:val="32"/>
          <w:szCs w:val="32"/>
        </w:rPr>
        <w:br/>
      </w:r>
      <w:r w:rsidRPr="00FE73F4">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FE73F4" w:rsidRPr="00FE73F4" w:rsidRDefault="00FE73F4" w:rsidP="00FE73F4">
      <w:pPr>
        <w:rPr>
          <w:sz w:val="32"/>
          <w:szCs w:val="32"/>
        </w:rPr>
      </w:pPr>
      <w:bookmarkStart w:id="8" w:name="Anchor104"/>
      <w:bookmarkEnd w:id="8"/>
      <w:r w:rsidRPr="00FE73F4">
        <w:rPr>
          <w:b/>
          <w:bCs/>
          <w:sz w:val="32"/>
          <w:szCs w:val="32"/>
          <w:rtl/>
        </w:rPr>
        <w:t>المحكمـــة</w:t>
      </w:r>
    </w:p>
    <w:p w:rsidR="00FE73F4" w:rsidRPr="00FE73F4" w:rsidRDefault="00FE73F4" w:rsidP="00FE73F4">
      <w:pPr>
        <w:rPr>
          <w:sz w:val="32"/>
          <w:szCs w:val="32"/>
        </w:rPr>
      </w:pPr>
      <w:bookmarkStart w:id="9" w:name="Anchor105"/>
      <w:bookmarkEnd w:id="9"/>
      <w:r w:rsidRPr="00FE73F4">
        <w:rPr>
          <w:sz w:val="32"/>
          <w:szCs w:val="32"/>
          <w:rtl/>
        </w:rPr>
        <w:t>بعد الاطلاع على الأوراق وسماع المرافعة وبعد المداولة</w:t>
      </w:r>
      <w:r w:rsidRPr="00FE73F4">
        <w:rPr>
          <w:sz w:val="32"/>
          <w:szCs w:val="32"/>
        </w:rPr>
        <w:t>.</w:t>
      </w:r>
    </w:p>
    <w:p w:rsidR="00FE73F4" w:rsidRPr="00FE73F4" w:rsidRDefault="00FE73F4" w:rsidP="00FE73F4">
      <w:pPr>
        <w:rPr>
          <w:sz w:val="32"/>
          <w:szCs w:val="32"/>
        </w:rPr>
      </w:pPr>
      <w:bookmarkStart w:id="10" w:name="Anchor112"/>
      <w:bookmarkEnd w:id="10"/>
      <w:r w:rsidRPr="00FE73F4">
        <w:rPr>
          <w:sz w:val="32"/>
          <w:szCs w:val="32"/>
          <w:rtl/>
        </w:rPr>
        <w:t>حيث إن الطعن استوفى اوضاعه الشكلية</w:t>
      </w:r>
      <w:r w:rsidRPr="00FE73F4">
        <w:rPr>
          <w:sz w:val="32"/>
          <w:szCs w:val="32"/>
        </w:rPr>
        <w:t>.</w:t>
      </w:r>
    </w:p>
    <w:p w:rsidR="00FE73F4" w:rsidRPr="00FE73F4" w:rsidRDefault="00FE73F4" w:rsidP="00FE73F4">
      <w:pPr>
        <w:rPr>
          <w:sz w:val="32"/>
          <w:szCs w:val="32"/>
        </w:rPr>
      </w:pPr>
      <w:bookmarkStart w:id="11" w:name="Anchor117"/>
      <w:bookmarkEnd w:id="11"/>
      <w:r w:rsidRPr="00FE73F4">
        <w:rPr>
          <w:sz w:val="32"/>
          <w:szCs w:val="32"/>
          <w:rtl/>
        </w:rPr>
        <w:t xml:space="preserve">وحيث إن الوقائع </w:t>
      </w:r>
      <w:r w:rsidRPr="00FE73F4">
        <w:rPr>
          <w:sz w:val="32"/>
          <w:szCs w:val="32"/>
        </w:rPr>
        <w:t xml:space="preserve">– </w:t>
      </w:r>
      <w:r w:rsidRPr="00FE73F4">
        <w:rPr>
          <w:sz w:val="32"/>
          <w:szCs w:val="32"/>
          <w:rtl/>
        </w:rPr>
        <w:t xml:space="preserve">على ما يبين من الحكم المطعون فيه وسائر الأوراق </w:t>
      </w:r>
      <w:r w:rsidRPr="00FE73F4">
        <w:rPr>
          <w:sz w:val="32"/>
          <w:szCs w:val="32"/>
        </w:rPr>
        <w:t xml:space="preserve">– </w:t>
      </w:r>
      <w:r w:rsidRPr="00FE73F4">
        <w:rPr>
          <w:sz w:val="32"/>
          <w:szCs w:val="32"/>
          <w:rtl/>
        </w:rPr>
        <w:t xml:space="preserve">تتحصل في أن المطعون ضدهما أولاً أقام على الطاعنة وباقي المطعون ضدهم الدعوى رقم </w:t>
      </w:r>
      <w:r w:rsidRPr="00FE73F4">
        <w:rPr>
          <w:sz w:val="32"/>
          <w:szCs w:val="32"/>
        </w:rPr>
        <w:t xml:space="preserve">3442/2011 </w:t>
      </w:r>
      <w:r w:rsidRPr="00FE73F4">
        <w:rPr>
          <w:sz w:val="32"/>
          <w:szCs w:val="32"/>
          <w:rtl/>
        </w:rPr>
        <w:t xml:space="preserve">تجاري كلي بطلب الحكم بإلزامهم بأن يؤدوا لهما مبلغ </w:t>
      </w:r>
      <w:r w:rsidRPr="00FE73F4">
        <w:rPr>
          <w:sz w:val="32"/>
          <w:szCs w:val="32"/>
        </w:rPr>
        <w:t xml:space="preserve">40000 </w:t>
      </w:r>
      <w:r w:rsidRPr="00FE73F4">
        <w:rPr>
          <w:sz w:val="32"/>
          <w:szCs w:val="32"/>
          <w:rtl/>
        </w:rPr>
        <w:t xml:space="preserve">دينار دية شرعية وتعويض مادي وأدبي قولاً منهما بياناً لدعواهما أنه وبتاريخ 2008/10/3 تسبب المطعون ضده الرابع والتابع للمطعون ضدها الثانية بإهماله </w:t>
      </w:r>
      <w:r w:rsidRPr="00FE73F4">
        <w:rPr>
          <w:sz w:val="32"/>
          <w:szCs w:val="32"/>
          <w:rtl/>
        </w:rPr>
        <w:lastRenderedPageBreak/>
        <w:t xml:space="preserve">في وفاة مورثهما </w:t>
      </w:r>
      <w:r w:rsidRPr="00FE73F4">
        <w:rPr>
          <w:sz w:val="32"/>
          <w:szCs w:val="32"/>
        </w:rPr>
        <w:t xml:space="preserve">...... </w:t>
      </w:r>
      <w:r w:rsidRPr="00FE73F4">
        <w:rPr>
          <w:sz w:val="32"/>
          <w:szCs w:val="32"/>
          <w:rtl/>
        </w:rPr>
        <w:t>والذي كان يعمل لدى المطعون ضدها الثانية المنفذة للمشروع والتي قامت بالتأمين لدى الطاعنة وقد تحرر عن الحادث المحضر رقم 1320 لسنة 2008 جنح حولي وقضى فيها بإدانته بحكم نهائي ومن ثم فقد أقاما الدعوى</w:t>
      </w:r>
      <w:r w:rsidRPr="00FE73F4">
        <w:rPr>
          <w:sz w:val="32"/>
          <w:szCs w:val="32"/>
        </w:rPr>
        <w:t xml:space="preserve">. </w:t>
      </w:r>
      <w:r w:rsidRPr="00FE73F4">
        <w:rPr>
          <w:sz w:val="32"/>
          <w:szCs w:val="32"/>
          <w:rtl/>
        </w:rPr>
        <w:t xml:space="preserve">وجهت المطعون ضدها الثانية " شركة أفاميا للمقاولات العامة والمباني " قبل الشركة الطاعنة دعوى فرعية بطلب الحكم بإلزامهما بما عسى أن يحكم به عليها في الدعوى الأصلية كما وجه المطعون ضده الثالث بصفته مالك المشروع دعوى فرعية قبل المدعو </w:t>
      </w:r>
      <w:r w:rsidRPr="00FE73F4">
        <w:rPr>
          <w:sz w:val="32"/>
          <w:szCs w:val="32"/>
        </w:rPr>
        <w:t xml:space="preserve">....... </w:t>
      </w:r>
      <w:r w:rsidRPr="00FE73F4">
        <w:rPr>
          <w:sz w:val="32"/>
          <w:szCs w:val="32"/>
          <w:rtl/>
        </w:rPr>
        <w:t xml:space="preserve">بطلب الحكم بإلزامه بما عسى أن يقضى به عليه، وبتاريخ 2012/10/9 حكمت محكمة أول درجة بإلزام المطعون ضدهما الثانية والرابع بأن يؤديا للمطعون ضدهما أولاً ورثة المرحوم </w:t>
      </w:r>
      <w:r w:rsidRPr="00FE73F4">
        <w:rPr>
          <w:sz w:val="32"/>
          <w:szCs w:val="32"/>
        </w:rPr>
        <w:t xml:space="preserve">...... </w:t>
      </w:r>
      <w:proofErr w:type="gramStart"/>
      <w:r w:rsidRPr="00FE73F4">
        <w:rPr>
          <w:sz w:val="32"/>
          <w:szCs w:val="32"/>
        </w:rPr>
        <w:t xml:space="preserve">–/30000 </w:t>
      </w:r>
      <w:r w:rsidRPr="00FE73F4">
        <w:rPr>
          <w:sz w:val="32"/>
          <w:szCs w:val="32"/>
          <w:rtl/>
        </w:rPr>
        <w:t>دينار دية شرعية وتعويض مادي وأدبي وفي الدعوى الفرعية المقامة من المطعون ضدها الثانية قبل الطاعنة ودعوى الضمان المقامة من البنك المطعون ضده الثالث برفضهما</w:t>
      </w:r>
      <w:r w:rsidRPr="00FE73F4">
        <w:rPr>
          <w:sz w:val="32"/>
          <w:szCs w:val="32"/>
        </w:rPr>
        <w:t>.</w:t>
      </w:r>
      <w:proofErr w:type="gramEnd"/>
      <w:r w:rsidRPr="00FE73F4">
        <w:rPr>
          <w:sz w:val="32"/>
          <w:szCs w:val="32"/>
        </w:rPr>
        <w:t xml:space="preserve"> </w:t>
      </w:r>
      <w:r w:rsidRPr="00FE73F4">
        <w:rPr>
          <w:sz w:val="32"/>
          <w:szCs w:val="32"/>
          <w:rtl/>
        </w:rPr>
        <w:t xml:space="preserve">استأنف المطعون ضدهم أولاً هذا الحكم بالإستئناف رقم 4429 لسنة 2012 تجاري، كما استأنفته المطعون ضدها الثانية بالإستئناف رقم 44300 لسنة 2012 تجاري وبعد أن ضمت محكمة الإستئناف الثاني للأول للإرتباط قضت بتاريخ 2013/2/11 في الإستئناف الأول بإلغاء الحكم المستأنف فيما قضى به من رفض الدعوى قبل الشركة الطاعنة وثائق للتأمين التكافلي وإلزامها بالتضامم والمطعون ضدها الثانية شركة </w:t>
      </w:r>
      <w:r w:rsidRPr="00FE73F4">
        <w:rPr>
          <w:sz w:val="32"/>
          <w:szCs w:val="32"/>
        </w:rPr>
        <w:t xml:space="preserve">...... </w:t>
      </w:r>
      <w:r w:rsidRPr="00FE73F4">
        <w:rPr>
          <w:sz w:val="32"/>
          <w:szCs w:val="32"/>
          <w:rtl/>
        </w:rPr>
        <w:t xml:space="preserve">الدولية للمقاولات العامة والمباني والمطعون ضده الرابع </w:t>
      </w:r>
      <w:r w:rsidRPr="00FE73F4">
        <w:rPr>
          <w:sz w:val="32"/>
          <w:szCs w:val="32"/>
        </w:rPr>
        <w:t xml:space="preserve">....... </w:t>
      </w:r>
      <w:r w:rsidRPr="00FE73F4">
        <w:rPr>
          <w:sz w:val="32"/>
          <w:szCs w:val="32"/>
          <w:rtl/>
        </w:rPr>
        <w:t>بآداء المبلغ المقضي به بالحكم المستأنف وفي موضوع الإستئناف الثاني برفضه</w:t>
      </w:r>
      <w:r w:rsidRPr="00FE73F4">
        <w:rPr>
          <w:sz w:val="32"/>
          <w:szCs w:val="32"/>
        </w:rPr>
        <w:t xml:space="preserve">. </w:t>
      </w:r>
      <w:r w:rsidRPr="00FE73F4">
        <w:rPr>
          <w:sz w:val="32"/>
          <w:szCs w:val="32"/>
          <w:rtl/>
        </w:rPr>
        <w:t>طعنت شركة وثائق للتأمين التكافلي في هذا الحكم بطريق التمييز وقدمت النيابة مذكرة أبدت فيها الرأي برفض الطعن</w:t>
      </w:r>
      <w:r w:rsidRPr="00FE73F4">
        <w:rPr>
          <w:sz w:val="32"/>
          <w:szCs w:val="32"/>
        </w:rPr>
        <w:t xml:space="preserve">. </w:t>
      </w:r>
      <w:r w:rsidRPr="00FE73F4">
        <w:rPr>
          <w:sz w:val="32"/>
          <w:szCs w:val="32"/>
          <w:rtl/>
        </w:rPr>
        <w:t>عرض الطعن على هذه المحكمة في غرفة المشورة فحددت جلسة لنظره وفيها التزمت النيابة رأيها</w:t>
      </w:r>
      <w:r w:rsidRPr="00FE73F4">
        <w:rPr>
          <w:sz w:val="32"/>
          <w:szCs w:val="32"/>
        </w:rPr>
        <w:t>.</w:t>
      </w:r>
    </w:p>
    <w:p w:rsidR="00FE73F4" w:rsidRPr="00FE73F4" w:rsidRDefault="00FE73F4" w:rsidP="00FE73F4">
      <w:pPr>
        <w:rPr>
          <w:sz w:val="32"/>
          <w:szCs w:val="32"/>
        </w:rPr>
      </w:pPr>
      <w:bookmarkStart w:id="12" w:name="Anchor303"/>
      <w:bookmarkEnd w:id="12"/>
      <w:r w:rsidRPr="00FE73F4">
        <w:rPr>
          <w:sz w:val="32"/>
          <w:szCs w:val="32"/>
          <w:rtl/>
        </w:rPr>
        <w:t>وحيث إن مما تنعاه الطاعنة على الحكم المطعون فيه مخالفة القانون والخطأ في تطبيقه وتأويله والفساد في الإستدلال والإخلال بحق الدفاع ومخالفة الثابت بالأوراق والقصور في التسبيب وفي بيان ذلك تقول إن وثيقة التأمين المبرمة بينهما وبين المطعون ضدها الثانية والتي تحكم العلاقة بينهما قد تضمنت في البند الثالث منها النص على سقوط حق المؤمنة في التعويض إذ لم تقم بتنفيذ الإحتياطات المعقولة لمنع الحوادث أو إذ خالفت الشروط المتعلقة بالأمن والسلامة التي تفرضها متطلبات العمل. وإذ كان الثابت من الأوراق أن المطعون ضدها الثانية المؤمن لها قد خالفت هذه الشروط والتي دونت بالمداد الأحمر المغاير لباقي شروط الوثيقة ولم توفر للمجني عليه والذى كان يعمل لديها وسائل الأمن والسلامة فإنها تكون مسئولة عن أداء التعويض المحكوم به بعد أن أدين تابعها بموجب الحكم الجزائي الصادر في الجنحة رقم 1402 لسنة 2008 حولي، وإذ خالف الحكم المطعون فيه هذا النظر والزمها وباقي المطعون ضدهم من الثانية وحتى الأخير بالتعويض فإنه يكون معيباً بما يستوجب تمييزه</w:t>
      </w:r>
      <w:r w:rsidRPr="00FE73F4">
        <w:rPr>
          <w:sz w:val="32"/>
          <w:szCs w:val="32"/>
        </w:rPr>
        <w:t>.</w:t>
      </w:r>
    </w:p>
    <w:p w:rsidR="00FE73F4" w:rsidRPr="00FE73F4" w:rsidRDefault="00FE73F4" w:rsidP="00FE73F4">
      <w:pPr>
        <w:rPr>
          <w:sz w:val="32"/>
          <w:szCs w:val="32"/>
        </w:rPr>
      </w:pPr>
      <w:bookmarkStart w:id="13" w:name="Anchor393"/>
      <w:bookmarkStart w:id="14" w:name="TM2014_485_1"/>
      <w:bookmarkEnd w:id="13"/>
      <w:bookmarkEnd w:id="14"/>
      <w:r w:rsidRPr="00FE73F4">
        <w:rPr>
          <w:b/>
          <w:bCs/>
          <w:sz w:val="32"/>
          <w:szCs w:val="32"/>
          <w:rtl/>
        </w:rPr>
        <w:t>وحيث عن هذا النعي سديد ذلك أن الأصل هو حرية المتعاقدين في تعديل قواعد المسئولية العقدية التي أنشأتها إرادتها الحرة وذلك في حدود القانون وقواعد النظام العام</w:t>
      </w:r>
      <w:r w:rsidRPr="00FE73F4">
        <w:rPr>
          <w:sz w:val="32"/>
          <w:szCs w:val="32"/>
          <w:rtl/>
        </w:rPr>
        <w:t xml:space="preserve"> </w:t>
      </w:r>
    </w:p>
    <w:p w:rsidR="00FE73F4" w:rsidRPr="00FE73F4" w:rsidRDefault="00FE73F4" w:rsidP="00FE73F4">
      <w:pPr>
        <w:rPr>
          <w:sz w:val="32"/>
          <w:szCs w:val="32"/>
        </w:rPr>
      </w:pPr>
      <w:bookmarkStart w:id="15" w:name="Anchor410"/>
      <w:bookmarkStart w:id="16" w:name="TM2014_485_2"/>
      <w:bookmarkEnd w:id="15"/>
      <w:bookmarkEnd w:id="16"/>
      <w:r w:rsidRPr="00FE73F4">
        <w:rPr>
          <w:b/>
          <w:bCs/>
          <w:sz w:val="32"/>
          <w:szCs w:val="32"/>
          <w:rtl/>
        </w:rPr>
        <w:t xml:space="preserve">وإذ كان النص في المادة 782 من القانون المدني على أنه "لا يجوز الإحتجاج على المؤمن له بالشروط المتعلقة بالبطلان أو بالسقوط أو بالتحكيم إلا إذا أبرزت بطريقة متميزة كأن تكتب بحروف أكثر ظهوراً أو أكبر حجماً </w:t>
      </w:r>
      <w:r w:rsidRPr="00FE73F4">
        <w:rPr>
          <w:b/>
          <w:bCs/>
          <w:sz w:val="32"/>
          <w:szCs w:val="32"/>
        </w:rPr>
        <w:t xml:space="preserve">" </w:t>
      </w:r>
      <w:r w:rsidRPr="00FE73F4">
        <w:rPr>
          <w:b/>
          <w:bCs/>
          <w:sz w:val="32"/>
          <w:szCs w:val="32"/>
          <w:rtl/>
        </w:rPr>
        <w:t>والنص في المادة 784 من ذات القانون على أن يقع باطلاً ما يرد في الوثيقة من الشروط الآتية</w:t>
      </w:r>
      <w:r w:rsidRPr="00FE73F4">
        <w:rPr>
          <w:b/>
          <w:bCs/>
          <w:sz w:val="32"/>
          <w:szCs w:val="32"/>
        </w:rPr>
        <w:t>: (</w:t>
      </w:r>
      <w:r w:rsidRPr="00FE73F4">
        <w:rPr>
          <w:b/>
          <w:bCs/>
          <w:sz w:val="32"/>
          <w:szCs w:val="32"/>
          <w:rtl/>
        </w:rPr>
        <w:t>أ)الشرط الذي يستثني من نطاق التأمين الأعمال المخالفة للقوانين واللوائح ما لم يكن الإستثناء محدداً " مفاده أن يشترط لإحتجاج على المؤمن له بالشروط المتعلقة بالبطلان أو السقوط أو بالتحكيم أن تكون قد أبرزت بطريقة مميزة في الوثيقة وأنه إذا استثنى المؤمن من نطاق التأمين الأعمال المخالفة للقوانين واللوائح وكان الإستثناء غير محدد لا يعتد به،</w:t>
      </w:r>
      <w:r w:rsidRPr="00FE73F4">
        <w:rPr>
          <w:sz w:val="32"/>
          <w:szCs w:val="32"/>
          <w:rtl/>
        </w:rPr>
        <w:t xml:space="preserve"> </w:t>
      </w:r>
    </w:p>
    <w:p w:rsidR="00FE73F4" w:rsidRPr="00FE73F4" w:rsidRDefault="00FE73F4" w:rsidP="00FE73F4">
      <w:pPr>
        <w:rPr>
          <w:sz w:val="32"/>
          <w:szCs w:val="32"/>
        </w:rPr>
      </w:pPr>
      <w:bookmarkStart w:id="17" w:name="Anchor473"/>
      <w:bookmarkStart w:id="18" w:name="TM2014_485_3"/>
      <w:bookmarkEnd w:id="17"/>
      <w:bookmarkEnd w:id="18"/>
      <w:r w:rsidRPr="00FE73F4">
        <w:rPr>
          <w:b/>
          <w:bCs/>
          <w:sz w:val="32"/>
          <w:szCs w:val="32"/>
          <w:rtl/>
        </w:rPr>
        <w:t>أما إذا ذكر المؤمن على وجه التحديد المخالفة التي يستثنيها من نطاق التأمين كأن يستثنى الذي يخالف نصاً معيناً في قانون معين أو من لائحة معينة فإن هذا الأستثناء يكون صحيحاً وتخرج المخالفة المستثناة من نطاق التأمين لأنه استثناءها محدد لا إبهام فيه</w:t>
      </w:r>
      <w:r w:rsidRPr="00FE73F4">
        <w:rPr>
          <w:sz w:val="32"/>
          <w:szCs w:val="32"/>
          <w:rtl/>
        </w:rPr>
        <w:t xml:space="preserve"> </w:t>
      </w:r>
    </w:p>
    <w:p w:rsidR="00FE73F4" w:rsidRPr="00FE73F4" w:rsidRDefault="00FE73F4" w:rsidP="00FE73F4">
      <w:pPr>
        <w:rPr>
          <w:sz w:val="32"/>
          <w:szCs w:val="32"/>
        </w:rPr>
      </w:pPr>
      <w:bookmarkStart w:id="19" w:name="Anchor498"/>
      <w:bookmarkStart w:id="20" w:name="TM2014_485_4"/>
      <w:bookmarkEnd w:id="19"/>
      <w:bookmarkEnd w:id="20"/>
      <w:proofErr w:type="gramStart"/>
      <w:r w:rsidRPr="00FE73F4">
        <w:rPr>
          <w:b/>
          <w:bCs/>
          <w:sz w:val="32"/>
          <w:szCs w:val="32"/>
        </w:rPr>
        <w:t xml:space="preserve">" </w:t>
      </w:r>
      <w:r w:rsidRPr="00FE73F4">
        <w:rPr>
          <w:b/>
          <w:bCs/>
          <w:sz w:val="32"/>
          <w:szCs w:val="32"/>
          <w:rtl/>
        </w:rPr>
        <w:t>كما</w:t>
      </w:r>
      <w:proofErr w:type="gramEnd"/>
      <w:r w:rsidRPr="00FE73F4">
        <w:rPr>
          <w:b/>
          <w:bCs/>
          <w:sz w:val="32"/>
          <w:szCs w:val="32"/>
          <w:rtl/>
        </w:rPr>
        <w:t xml:space="preserve"> أنه ولئن كان من المقرر يجوز للمضرور الرجوع مباشرة على المؤمن إذا كانت الوثيقة تتضمن إشتراطاً لمصلحة الغير طبقاً لما هو منصوص عليه في المادتين 205، 206 من القانون المدني بأن يشترط المؤمن له حين تعاقده مع شركة التأمين لمصلحة الغير الذي يحل به الضرر فيخوله بذلك حقاً ذاتيا يستأديه مباشرة من المؤمن إلا أنه يجوز للمؤمن أن يحتج على حامل الوثيقة أو على الشخص الذي يتمسك بها بكل الدفوع التي يكون له أن يحتج بها ضد المؤمن له وذلك إعمالاً لنص الفقرة الثانية من المادة 781 من القانون المدني</w:t>
      </w:r>
      <w:r w:rsidRPr="00FE73F4">
        <w:rPr>
          <w:sz w:val="32"/>
          <w:szCs w:val="32"/>
        </w:rPr>
        <w:t xml:space="preserve">. </w:t>
      </w:r>
      <w:r w:rsidRPr="00FE73F4">
        <w:rPr>
          <w:sz w:val="32"/>
          <w:szCs w:val="32"/>
          <w:rtl/>
        </w:rPr>
        <w:t>لما كان ذلك، وكان الثابت من الأوراق أن وثيقة التأمين تضمنت شرطاً واضحاً مكتوباً بطريقة مميزه وواضحة نص على سقوط حق المؤمن لها</w:t>
      </w:r>
      <w:r w:rsidRPr="00FE73F4">
        <w:rPr>
          <w:sz w:val="32"/>
          <w:szCs w:val="32"/>
        </w:rPr>
        <w:t xml:space="preserve"> " </w:t>
      </w:r>
      <w:r w:rsidRPr="00FE73F4">
        <w:rPr>
          <w:sz w:val="32"/>
          <w:szCs w:val="32"/>
          <w:rtl/>
        </w:rPr>
        <w:t xml:space="preserve">المطعون ضدها الثانية شركة </w:t>
      </w:r>
      <w:r w:rsidRPr="00FE73F4">
        <w:rPr>
          <w:sz w:val="32"/>
          <w:szCs w:val="32"/>
        </w:rPr>
        <w:t xml:space="preserve">........ </w:t>
      </w:r>
      <w:r w:rsidRPr="00FE73F4">
        <w:rPr>
          <w:sz w:val="32"/>
          <w:szCs w:val="32"/>
          <w:rtl/>
        </w:rPr>
        <w:t>الدولية للمقاولات العامة والمباني</w:t>
      </w:r>
      <w:r w:rsidRPr="00FE73F4">
        <w:rPr>
          <w:sz w:val="32"/>
          <w:szCs w:val="32"/>
        </w:rPr>
        <w:t xml:space="preserve">" </w:t>
      </w:r>
      <w:r w:rsidRPr="00FE73F4">
        <w:rPr>
          <w:sz w:val="32"/>
          <w:szCs w:val="32"/>
          <w:rtl/>
        </w:rPr>
        <w:t xml:space="preserve">بالتزامها بتنفيذ الإشتراطات اللازم توافرها لوقاية العمال </w:t>
      </w:r>
      <w:r w:rsidRPr="00FE73F4">
        <w:rPr>
          <w:sz w:val="32"/>
          <w:szCs w:val="32"/>
        </w:rPr>
        <w:t xml:space="preserve">– </w:t>
      </w:r>
      <w:r w:rsidRPr="00FE73F4">
        <w:rPr>
          <w:sz w:val="32"/>
          <w:szCs w:val="32"/>
          <w:rtl/>
        </w:rPr>
        <w:t xml:space="preserve">تابعيها </w:t>
      </w:r>
      <w:r w:rsidRPr="00FE73F4">
        <w:rPr>
          <w:sz w:val="32"/>
          <w:szCs w:val="32"/>
        </w:rPr>
        <w:t xml:space="preserve">– </w:t>
      </w:r>
      <w:r w:rsidRPr="00FE73F4">
        <w:rPr>
          <w:sz w:val="32"/>
          <w:szCs w:val="32"/>
          <w:rtl/>
        </w:rPr>
        <w:t xml:space="preserve">من أخطار الإصابات المنصوص عليها في قانون العمل وإلا سقط حقها في التعويض وقد ثبت خطأ تابع الشركة المؤمن لها </w:t>
      </w:r>
      <w:r w:rsidRPr="00FE73F4">
        <w:rPr>
          <w:sz w:val="32"/>
          <w:szCs w:val="32"/>
        </w:rPr>
        <w:t>"</w:t>
      </w:r>
      <w:r w:rsidRPr="00FE73F4">
        <w:rPr>
          <w:sz w:val="32"/>
          <w:szCs w:val="32"/>
          <w:rtl/>
        </w:rPr>
        <w:t>المطعون ضده الرابع " بحكم جزائي نهائي الصادر في الجنحة سالفة البيان لعدم إتخاذه إحتياطات الأمن والسلامة لحماية العمل من السقوط أثناء تأدية عملهم مما تسبب في سقوط مورث المطعون ضدهم أولاً، وكان ما وقع من المطعون ضدها الثانية وهي المؤمن لها يعد مخالفة لنص المادة 40 من القانون رقم 38 لسنة 1964 المعدل في شأن العمل في القطاع الأهلي والتي أوجبت على صاحب العمل أن يوفر وسائل الوقاية المناسبة لحماية العمال أثناء العمل ومما يتهم من السقوط ومن ثم فإنها تكون قد خالفت ما تقيدت به بوثيقة التأمين ويسقط حقها في التعويض وهو ما يترتب عليه سقوط حق المضرور والذي يستمد حقه من الوثيقة التي تضمنت شرط السقوط وإذ خالف الحكم المطعون فيه هذا النظر وقضى بإلزام الطاعنة وباقي المطعون ضدهما الثاني والرابع فإنه يكون قد أخطأ في تطبيق القانون بما يوجب تمييزه لهذا السبب دون حاجة لبحث باقي أوجه النعي</w:t>
      </w:r>
      <w:r w:rsidRPr="00FE73F4">
        <w:rPr>
          <w:sz w:val="32"/>
          <w:szCs w:val="32"/>
        </w:rPr>
        <w:t>.</w:t>
      </w:r>
    </w:p>
    <w:p w:rsidR="00FE73F4" w:rsidRPr="00FE73F4" w:rsidRDefault="00FE73F4" w:rsidP="00FE73F4">
      <w:pPr>
        <w:rPr>
          <w:sz w:val="32"/>
          <w:szCs w:val="32"/>
        </w:rPr>
      </w:pPr>
      <w:bookmarkStart w:id="21" w:name="Anchor656"/>
      <w:bookmarkEnd w:id="21"/>
      <w:r w:rsidRPr="00FE73F4">
        <w:rPr>
          <w:sz w:val="32"/>
          <w:szCs w:val="32"/>
          <w:rtl/>
        </w:rPr>
        <w:t>وحيث إنه عن موضوع الإستئناف رقم 4429 لسنة 2012 تجاري ولما تقدم صالح للفصل فيه، وكان الحكم المستأنف قد انتهى إلى ذات النتيجة التي انتهت إليها المحكمة ولما ساقته من أسباب في الرد على وجه النعي ومن ثم فإنه تقضي وتبعاً لذلك برفض الإستئناف وبتأييد الحكم المستأنف</w:t>
      </w:r>
      <w:r w:rsidRPr="00FE73F4">
        <w:rPr>
          <w:sz w:val="32"/>
          <w:szCs w:val="32"/>
        </w:rPr>
        <w:t>.</w:t>
      </w:r>
    </w:p>
    <w:p w:rsidR="00FE73F4" w:rsidRPr="00FE73F4" w:rsidRDefault="00FE73F4" w:rsidP="00FE73F4">
      <w:pPr>
        <w:rPr>
          <w:sz w:val="32"/>
          <w:szCs w:val="32"/>
        </w:rPr>
      </w:pPr>
      <w:bookmarkStart w:id="22" w:name="Anchor679"/>
      <w:bookmarkEnd w:id="22"/>
      <w:r w:rsidRPr="00FE73F4">
        <w:rPr>
          <w:b/>
          <w:bCs/>
          <w:sz w:val="32"/>
          <w:szCs w:val="32"/>
          <w:rtl/>
        </w:rPr>
        <w:t>لذلك</w:t>
      </w:r>
    </w:p>
    <w:p w:rsidR="00FE73F4" w:rsidRPr="00FE73F4" w:rsidRDefault="00FE73F4" w:rsidP="00FE73F4">
      <w:pPr>
        <w:rPr>
          <w:sz w:val="32"/>
          <w:szCs w:val="32"/>
        </w:rPr>
      </w:pPr>
      <w:bookmarkStart w:id="23" w:name="Anchor680"/>
      <w:bookmarkEnd w:id="23"/>
      <w:r w:rsidRPr="00FE73F4">
        <w:rPr>
          <w:sz w:val="32"/>
          <w:szCs w:val="32"/>
          <w:rtl/>
        </w:rPr>
        <w:t>حكمت المحكمة</w:t>
      </w:r>
      <w:r w:rsidRPr="00FE73F4">
        <w:rPr>
          <w:sz w:val="32"/>
          <w:szCs w:val="32"/>
        </w:rPr>
        <w:t xml:space="preserve">: </w:t>
      </w:r>
      <w:r w:rsidRPr="00FE73F4">
        <w:rPr>
          <w:sz w:val="32"/>
          <w:szCs w:val="32"/>
          <w:rtl/>
        </w:rPr>
        <w:t>أولاً</w:t>
      </w:r>
      <w:r w:rsidRPr="00FE73F4">
        <w:rPr>
          <w:sz w:val="32"/>
          <w:szCs w:val="32"/>
        </w:rPr>
        <w:t xml:space="preserve">: </w:t>
      </w:r>
      <w:r w:rsidRPr="00FE73F4">
        <w:rPr>
          <w:sz w:val="32"/>
          <w:szCs w:val="32"/>
          <w:rtl/>
        </w:rPr>
        <w:t>بقبول الطعن شكلاً، وفي الموضوع بتمييز الحكم المطعون فيه، وألزمت المطعون ضدهم عدا الثالث المصروفات ومبلغ عشرين ديناراً مقابل أتعاب المحاماة</w:t>
      </w:r>
      <w:r w:rsidRPr="00FE73F4">
        <w:rPr>
          <w:sz w:val="32"/>
          <w:szCs w:val="32"/>
        </w:rPr>
        <w:t xml:space="preserve">. </w:t>
      </w:r>
    </w:p>
    <w:p w:rsidR="00FE73F4" w:rsidRPr="00FE73F4" w:rsidRDefault="00FE73F4" w:rsidP="00FE73F4">
      <w:pPr>
        <w:rPr>
          <w:sz w:val="32"/>
          <w:szCs w:val="32"/>
        </w:rPr>
      </w:pPr>
      <w:bookmarkStart w:id="24" w:name="Anchor697"/>
      <w:bookmarkEnd w:id="24"/>
      <w:r w:rsidRPr="00FE73F4">
        <w:rPr>
          <w:sz w:val="32"/>
          <w:szCs w:val="32"/>
          <w:rtl/>
        </w:rPr>
        <w:t>ثانيا</w:t>
      </w:r>
      <w:r w:rsidRPr="00FE73F4">
        <w:rPr>
          <w:sz w:val="32"/>
          <w:szCs w:val="32"/>
        </w:rPr>
        <w:t xml:space="preserve">: </w:t>
      </w:r>
      <w:r w:rsidRPr="00FE73F4">
        <w:rPr>
          <w:sz w:val="32"/>
          <w:szCs w:val="32"/>
          <w:rtl/>
        </w:rPr>
        <w:t xml:space="preserve">وفي موضوع الإستئناف رقم </w:t>
      </w:r>
      <w:r w:rsidRPr="00FE73F4">
        <w:rPr>
          <w:sz w:val="32"/>
          <w:szCs w:val="32"/>
        </w:rPr>
        <w:t xml:space="preserve">4429 </w:t>
      </w:r>
      <w:r w:rsidRPr="00FE73F4">
        <w:rPr>
          <w:sz w:val="32"/>
          <w:szCs w:val="32"/>
          <w:rtl/>
        </w:rPr>
        <w:t>لسنة 2012 تجاري برفضه، وبتأييد الحكم المستأنف وألزمت المستأنف ضدهم عدا الرابع بيت التمويل الكويتي المصروفات ومبلغ عشرون ديناراً مقابل أتعاب المحاماة</w:t>
      </w:r>
      <w:r w:rsidRPr="00FE73F4">
        <w:rPr>
          <w:sz w:val="32"/>
          <w:szCs w:val="32"/>
        </w:rPr>
        <w:t>.</w:t>
      </w:r>
    </w:p>
    <w:p w:rsidR="00FE73F4" w:rsidRPr="00FE73F4" w:rsidRDefault="00FE73F4" w:rsidP="00FE73F4">
      <w:pPr>
        <w:rPr>
          <w:sz w:val="32"/>
          <w:szCs w:val="32"/>
        </w:rPr>
      </w:pPr>
    </w:p>
    <w:p w:rsidR="00FE73F4" w:rsidRPr="00FE73F4" w:rsidRDefault="00FE73F4" w:rsidP="00FE73F4">
      <w:pPr>
        <w:rPr>
          <w:sz w:val="32"/>
          <w:szCs w:val="32"/>
        </w:rPr>
      </w:pPr>
      <w:bookmarkStart w:id="25" w:name="Anchor718"/>
      <w:bookmarkEnd w:id="25"/>
      <w:r w:rsidRPr="00FE73F4">
        <w:rPr>
          <w:sz w:val="32"/>
          <w:szCs w:val="32"/>
        </w:rPr>
        <w:t>* * *</w:t>
      </w:r>
    </w:p>
    <w:p w:rsidR="008C2BA0" w:rsidRPr="00FE73F4" w:rsidRDefault="008C2BA0">
      <w:pPr>
        <w:rPr>
          <w:sz w:val="32"/>
          <w:szCs w:val="32"/>
        </w:rPr>
      </w:pPr>
    </w:p>
    <w:sectPr w:rsidR="008C2BA0" w:rsidRPr="00FE73F4"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F92"/>
    <w:rsid w:val="0003272B"/>
    <w:rsid w:val="008C2BA0"/>
    <w:rsid w:val="009B6F92"/>
    <w:rsid w:val="00FE73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3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3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627720">
      <w:bodyDiv w:val="1"/>
      <w:marLeft w:val="0"/>
      <w:marRight w:val="0"/>
      <w:marTop w:val="0"/>
      <w:marBottom w:val="0"/>
      <w:divBdr>
        <w:top w:val="none" w:sz="0" w:space="0" w:color="auto"/>
        <w:left w:val="none" w:sz="0" w:space="0" w:color="auto"/>
        <w:bottom w:val="none" w:sz="0" w:space="0" w:color="auto"/>
        <w:right w:val="none" w:sz="0" w:space="0" w:color="auto"/>
      </w:divBdr>
      <w:divsChild>
        <w:div w:id="165247948">
          <w:marLeft w:val="0"/>
          <w:marRight w:val="0"/>
          <w:marTop w:val="0"/>
          <w:marBottom w:val="0"/>
          <w:divBdr>
            <w:top w:val="none" w:sz="0" w:space="0" w:color="auto"/>
            <w:left w:val="none" w:sz="0" w:space="0" w:color="auto"/>
            <w:bottom w:val="none" w:sz="0" w:space="0" w:color="auto"/>
            <w:right w:val="none" w:sz="0" w:space="0" w:color="auto"/>
          </w:divBdr>
        </w:div>
        <w:div w:id="1637905866">
          <w:marLeft w:val="0"/>
          <w:marRight w:val="0"/>
          <w:marTop w:val="0"/>
          <w:marBottom w:val="0"/>
          <w:divBdr>
            <w:top w:val="none" w:sz="0" w:space="0" w:color="auto"/>
            <w:left w:val="none" w:sz="0" w:space="0" w:color="auto"/>
            <w:bottom w:val="none" w:sz="0" w:space="0" w:color="auto"/>
            <w:right w:val="none" w:sz="0" w:space="0" w:color="auto"/>
          </w:divBdr>
        </w:div>
        <w:div w:id="1774978421">
          <w:marLeft w:val="0"/>
          <w:marRight w:val="0"/>
          <w:marTop w:val="0"/>
          <w:marBottom w:val="0"/>
          <w:divBdr>
            <w:top w:val="none" w:sz="0" w:space="0" w:color="auto"/>
            <w:left w:val="none" w:sz="0" w:space="0" w:color="auto"/>
            <w:bottom w:val="none" w:sz="0" w:space="0" w:color="auto"/>
            <w:right w:val="none" w:sz="0" w:space="0" w:color="auto"/>
          </w:divBdr>
        </w:div>
        <w:div w:id="1681659429">
          <w:marLeft w:val="0"/>
          <w:marRight w:val="0"/>
          <w:marTop w:val="0"/>
          <w:marBottom w:val="0"/>
          <w:divBdr>
            <w:top w:val="none" w:sz="0" w:space="0" w:color="auto"/>
            <w:left w:val="none" w:sz="0" w:space="0" w:color="auto"/>
            <w:bottom w:val="none" w:sz="0" w:space="0" w:color="auto"/>
            <w:right w:val="none" w:sz="0" w:space="0" w:color="auto"/>
          </w:divBdr>
        </w:div>
        <w:div w:id="669061251">
          <w:marLeft w:val="0"/>
          <w:marRight w:val="0"/>
          <w:marTop w:val="0"/>
          <w:marBottom w:val="0"/>
          <w:divBdr>
            <w:top w:val="none" w:sz="0" w:space="0" w:color="auto"/>
            <w:left w:val="none" w:sz="0" w:space="0" w:color="auto"/>
            <w:bottom w:val="none" w:sz="0" w:space="0" w:color="auto"/>
            <w:right w:val="none" w:sz="0" w:space="0" w:color="auto"/>
          </w:divBdr>
        </w:div>
        <w:div w:id="1849560285">
          <w:marLeft w:val="0"/>
          <w:marRight w:val="0"/>
          <w:marTop w:val="0"/>
          <w:marBottom w:val="0"/>
          <w:divBdr>
            <w:top w:val="none" w:sz="0" w:space="0" w:color="auto"/>
            <w:left w:val="none" w:sz="0" w:space="0" w:color="auto"/>
            <w:bottom w:val="none" w:sz="0" w:space="0" w:color="auto"/>
            <w:right w:val="none" w:sz="0" w:space="0" w:color="auto"/>
          </w:divBdr>
        </w:div>
        <w:div w:id="175116063">
          <w:marLeft w:val="0"/>
          <w:marRight w:val="0"/>
          <w:marTop w:val="0"/>
          <w:marBottom w:val="0"/>
          <w:divBdr>
            <w:top w:val="none" w:sz="0" w:space="0" w:color="auto"/>
            <w:left w:val="none" w:sz="0" w:space="0" w:color="auto"/>
            <w:bottom w:val="none" w:sz="0" w:space="0" w:color="auto"/>
            <w:right w:val="none" w:sz="0" w:space="0" w:color="auto"/>
          </w:divBdr>
        </w:div>
        <w:div w:id="840045199">
          <w:marLeft w:val="0"/>
          <w:marRight w:val="0"/>
          <w:marTop w:val="0"/>
          <w:marBottom w:val="0"/>
          <w:divBdr>
            <w:top w:val="none" w:sz="0" w:space="0" w:color="auto"/>
            <w:left w:val="none" w:sz="0" w:space="0" w:color="auto"/>
            <w:bottom w:val="none" w:sz="0" w:space="0" w:color="auto"/>
            <w:right w:val="none" w:sz="0" w:space="0" w:color="auto"/>
          </w:divBdr>
        </w:div>
        <w:div w:id="1993869009">
          <w:marLeft w:val="0"/>
          <w:marRight w:val="0"/>
          <w:marTop w:val="0"/>
          <w:marBottom w:val="0"/>
          <w:divBdr>
            <w:top w:val="none" w:sz="0" w:space="0" w:color="auto"/>
            <w:left w:val="none" w:sz="0" w:space="0" w:color="auto"/>
            <w:bottom w:val="none" w:sz="0" w:space="0" w:color="auto"/>
            <w:right w:val="none" w:sz="0" w:space="0" w:color="auto"/>
          </w:divBdr>
        </w:div>
        <w:div w:id="2091147530">
          <w:marLeft w:val="0"/>
          <w:marRight w:val="0"/>
          <w:marTop w:val="0"/>
          <w:marBottom w:val="0"/>
          <w:divBdr>
            <w:top w:val="none" w:sz="0" w:space="0" w:color="auto"/>
            <w:left w:val="none" w:sz="0" w:space="0" w:color="auto"/>
            <w:bottom w:val="none" w:sz="0" w:space="0" w:color="auto"/>
            <w:right w:val="none" w:sz="0" w:space="0" w:color="auto"/>
          </w:divBdr>
        </w:div>
        <w:div w:id="1769885907">
          <w:marLeft w:val="0"/>
          <w:marRight w:val="0"/>
          <w:marTop w:val="0"/>
          <w:marBottom w:val="0"/>
          <w:divBdr>
            <w:top w:val="none" w:sz="0" w:space="0" w:color="auto"/>
            <w:left w:val="none" w:sz="0" w:space="0" w:color="auto"/>
            <w:bottom w:val="none" w:sz="0" w:space="0" w:color="auto"/>
            <w:right w:val="none" w:sz="0" w:space="0" w:color="auto"/>
          </w:divBdr>
        </w:div>
        <w:div w:id="1034229041">
          <w:marLeft w:val="0"/>
          <w:marRight w:val="0"/>
          <w:marTop w:val="0"/>
          <w:marBottom w:val="0"/>
          <w:divBdr>
            <w:top w:val="none" w:sz="0" w:space="0" w:color="auto"/>
            <w:left w:val="none" w:sz="0" w:space="0" w:color="auto"/>
            <w:bottom w:val="none" w:sz="0" w:space="0" w:color="auto"/>
            <w:right w:val="none" w:sz="0" w:space="0" w:color="auto"/>
          </w:divBdr>
        </w:div>
        <w:div w:id="2137286978">
          <w:marLeft w:val="0"/>
          <w:marRight w:val="0"/>
          <w:marTop w:val="0"/>
          <w:marBottom w:val="0"/>
          <w:divBdr>
            <w:top w:val="none" w:sz="0" w:space="0" w:color="auto"/>
            <w:left w:val="none" w:sz="0" w:space="0" w:color="auto"/>
            <w:bottom w:val="none" w:sz="0" w:space="0" w:color="auto"/>
            <w:right w:val="none" w:sz="0" w:space="0" w:color="auto"/>
          </w:divBdr>
        </w:div>
        <w:div w:id="1098135234">
          <w:marLeft w:val="0"/>
          <w:marRight w:val="0"/>
          <w:marTop w:val="0"/>
          <w:marBottom w:val="0"/>
          <w:divBdr>
            <w:top w:val="none" w:sz="0" w:space="0" w:color="auto"/>
            <w:left w:val="none" w:sz="0" w:space="0" w:color="auto"/>
            <w:bottom w:val="none" w:sz="0" w:space="0" w:color="auto"/>
            <w:right w:val="none" w:sz="0" w:space="0" w:color="auto"/>
          </w:divBdr>
        </w:div>
        <w:div w:id="1527674461">
          <w:marLeft w:val="0"/>
          <w:marRight w:val="0"/>
          <w:marTop w:val="0"/>
          <w:marBottom w:val="0"/>
          <w:divBdr>
            <w:top w:val="none" w:sz="0" w:space="0" w:color="auto"/>
            <w:left w:val="none" w:sz="0" w:space="0" w:color="auto"/>
            <w:bottom w:val="none" w:sz="0" w:space="0" w:color="auto"/>
            <w:right w:val="none" w:sz="0" w:space="0" w:color="auto"/>
          </w:divBdr>
        </w:div>
        <w:div w:id="1904749505">
          <w:marLeft w:val="0"/>
          <w:marRight w:val="0"/>
          <w:marTop w:val="0"/>
          <w:marBottom w:val="0"/>
          <w:divBdr>
            <w:top w:val="none" w:sz="0" w:space="0" w:color="auto"/>
            <w:left w:val="none" w:sz="0" w:space="0" w:color="auto"/>
            <w:bottom w:val="none" w:sz="0" w:space="0" w:color="auto"/>
            <w:right w:val="none" w:sz="0" w:space="0" w:color="auto"/>
          </w:divBdr>
        </w:div>
        <w:div w:id="321466302">
          <w:marLeft w:val="0"/>
          <w:marRight w:val="0"/>
          <w:marTop w:val="0"/>
          <w:marBottom w:val="0"/>
          <w:divBdr>
            <w:top w:val="none" w:sz="0" w:space="0" w:color="auto"/>
            <w:left w:val="none" w:sz="0" w:space="0" w:color="auto"/>
            <w:bottom w:val="none" w:sz="0" w:space="0" w:color="auto"/>
            <w:right w:val="none" w:sz="0" w:space="0" w:color="auto"/>
          </w:divBdr>
        </w:div>
        <w:div w:id="452402655">
          <w:marLeft w:val="0"/>
          <w:marRight w:val="0"/>
          <w:marTop w:val="0"/>
          <w:marBottom w:val="0"/>
          <w:divBdr>
            <w:top w:val="none" w:sz="0" w:space="0" w:color="auto"/>
            <w:left w:val="none" w:sz="0" w:space="0" w:color="auto"/>
            <w:bottom w:val="none" w:sz="0" w:space="0" w:color="auto"/>
            <w:right w:val="none" w:sz="0" w:space="0" w:color="auto"/>
          </w:divBdr>
        </w:div>
        <w:div w:id="162210681">
          <w:marLeft w:val="0"/>
          <w:marRight w:val="0"/>
          <w:marTop w:val="0"/>
          <w:marBottom w:val="0"/>
          <w:divBdr>
            <w:top w:val="none" w:sz="0" w:space="0" w:color="auto"/>
            <w:left w:val="none" w:sz="0" w:space="0" w:color="auto"/>
            <w:bottom w:val="none" w:sz="0" w:space="0" w:color="auto"/>
            <w:right w:val="none" w:sz="0" w:space="0" w:color="auto"/>
          </w:divBdr>
        </w:div>
        <w:div w:id="1704400340">
          <w:marLeft w:val="0"/>
          <w:marRight w:val="0"/>
          <w:marTop w:val="0"/>
          <w:marBottom w:val="0"/>
          <w:divBdr>
            <w:top w:val="none" w:sz="0" w:space="0" w:color="auto"/>
            <w:left w:val="none" w:sz="0" w:space="0" w:color="auto"/>
            <w:bottom w:val="none" w:sz="0" w:space="0" w:color="auto"/>
            <w:right w:val="none" w:sz="0" w:space="0" w:color="auto"/>
          </w:divBdr>
        </w:div>
        <w:div w:id="127624897">
          <w:marLeft w:val="0"/>
          <w:marRight w:val="0"/>
          <w:marTop w:val="0"/>
          <w:marBottom w:val="0"/>
          <w:divBdr>
            <w:top w:val="none" w:sz="0" w:space="0" w:color="auto"/>
            <w:left w:val="none" w:sz="0" w:space="0" w:color="auto"/>
            <w:bottom w:val="none" w:sz="0" w:space="0" w:color="auto"/>
            <w:right w:val="none" w:sz="0" w:space="0" w:color="auto"/>
          </w:divBdr>
        </w:div>
      </w:divsChild>
    </w:div>
    <w:div w:id="1356923337">
      <w:bodyDiv w:val="1"/>
      <w:marLeft w:val="0"/>
      <w:marRight w:val="0"/>
      <w:marTop w:val="0"/>
      <w:marBottom w:val="0"/>
      <w:divBdr>
        <w:top w:val="none" w:sz="0" w:space="0" w:color="auto"/>
        <w:left w:val="none" w:sz="0" w:space="0" w:color="auto"/>
        <w:bottom w:val="none" w:sz="0" w:space="0" w:color="auto"/>
        <w:right w:val="none" w:sz="0" w:space="0" w:color="auto"/>
      </w:divBdr>
      <w:divsChild>
        <w:div w:id="306277190">
          <w:marLeft w:val="0"/>
          <w:marRight w:val="0"/>
          <w:marTop w:val="0"/>
          <w:marBottom w:val="0"/>
          <w:divBdr>
            <w:top w:val="none" w:sz="0" w:space="0" w:color="auto"/>
            <w:left w:val="none" w:sz="0" w:space="0" w:color="auto"/>
            <w:bottom w:val="none" w:sz="0" w:space="0" w:color="auto"/>
            <w:right w:val="none" w:sz="0" w:space="0" w:color="auto"/>
          </w:divBdr>
        </w:div>
        <w:div w:id="2051681018">
          <w:marLeft w:val="0"/>
          <w:marRight w:val="0"/>
          <w:marTop w:val="0"/>
          <w:marBottom w:val="0"/>
          <w:divBdr>
            <w:top w:val="none" w:sz="0" w:space="0" w:color="auto"/>
            <w:left w:val="none" w:sz="0" w:space="0" w:color="auto"/>
            <w:bottom w:val="none" w:sz="0" w:space="0" w:color="auto"/>
            <w:right w:val="none" w:sz="0" w:space="0" w:color="auto"/>
          </w:divBdr>
        </w:div>
        <w:div w:id="1159928040">
          <w:marLeft w:val="0"/>
          <w:marRight w:val="0"/>
          <w:marTop w:val="0"/>
          <w:marBottom w:val="0"/>
          <w:divBdr>
            <w:top w:val="none" w:sz="0" w:space="0" w:color="auto"/>
            <w:left w:val="none" w:sz="0" w:space="0" w:color="auto"/>
            <w:bottom w:val="none" w:sz="0" w:space="0" w:color="auto"/>
            <w:right w:val="none" w:sz="0" w:space="0" w:color="auto"/>
          </w:divBdr>
        </w:div>
        <w:div w:id="224923479">
          <w:marLeft w:val="0"/>
          <w:marRight w:val="0"/>
          <w:marTop w:val="0"/>
          <w:marBottom w:val="0"/>
          <w:divBdr>
            <w:top w:val="none" w:sz="0" w:space="0" w:color="auto"/>
            <w:left w:val="none" w:sz="0" w:space="0" w:color="auto"/>
            <w:bottom w:val="none" w:sz="0" w:space="0" w:color="auto"/>
            <w:right w:val="none" w:sz="0" w:space="0" w:color="auto"/>
          </w:divBdr>
        </w:div>
        <w:div w:id="2016297922">
          <w:marLeft w:val="0"/>
          <w:marRight w:val="0"/>
          <w:marTop w:val="0"/>
          <w:marBottom w:val="0"/>
          <w:divBdr>
            <w:top w:val="none" w:sz="0" w:space="0" w:color="auto"/>
            <w:left w:val="none" w:sz="0" w:space="0" w:color="auto"/>
            <w:bottom w:val="none" w:sz="0" w:space="0" w:color="auto"/>
            <w:right w:val="none" w:sz="0" w:space="0" w:color="auto"/>
          </w:divBdr>
        </w:div>
        <w:div w:id="46150908">
          <w:marLeft w:val="0"/>
          <w:marRight w:val="0"/>
          <w:marTop w:val="0"/>
          <w:marBottom w:val="0"/>
          <w:divBdr>
            <w:top w:val="none" w:sz="0" w:space="0" w:color="auto"/>
            <w:left w:val="none" w:sz="0" w:space="0" w:color="auto"/>
            <w:bottom w:val="none" w:sz="0" w:space="0" w:color="auto"/>
            <w:right w:val="none" w:sz="0" w:space="0" w:color="auto"/>
          </w:divBdr>
        </w:div>
        <w:div w:id="964584377">
          <w:marLeft w:val="0"/>
          <w:marRight w:val="0"/>
          <w:marTop w:val="0"/>
          <w:marBottom w:val="0"/>
          <w:divBdr>
            <w:top w:val="none" w:sz="0" w:space="0" w:color="auto"/>
            <w:left w:val="none" w:sz="0" w:space="0" w:color="auto"/>
            <w:bottom w:val="none" w:sz="0" w:space="0" w:color="auto"/>
            <w:right w:val="none" w:sz="0" w:space="0" w:color="auto"/>
          </w:divBdr>
        </w:div>
        <w:div w:id="1586181976">
          <w:marLeft w:val="0"/>
          <w:marRight w:val="0"/>
          <w:marTop w:val="0"/>
          <w:marBottom w:val="0"/>
          <w:divBdr>
            <w:top w:val="none" w:sz="0" w:space="0" w:color="auto"/>
            <w:left w:val="none" w:sz="0" w:space="0" w:color="auto"/>
            <w:bottom w:val="none" w:sz="0" w:space="0" w:color="auto"/>
            <w:right w:val="none" w:sz="0" w:space="0" w:color="auto"/>
          </w:divBdr>
        </w:div>
        <w:div w:id="839081124">
          <w:marLeft w:val="0"/>
          <w:marRight w:val="0"/>
          <w:marTop w:val="0"/>
          <w:marBottom w:val="0"/>
          <w:divBdr>
            <w:top w:val="none" w:sz="0" w:space="0" w:color="auto"/>
            <w:left w:val="none" w:sz="0" w:space="0" w:color="auto"/>
            <w:bottom w:val="none" w:sz="0" w:space="0" w:color="auto"/>
            <w:right w:val="none" w:sz="0" w:space="0" w:color="auto"/>
          </w:divBdr>
        </w:div>
        <w:div w:id="378360100">
          <w:marLeft w:val="0"/>
          <w:marRight w:val="0"/>
          <w:marTop w:val="0"/>
          <w:marBottom w:val="0"/>
          <w:divBdr>
            <w:top w:val="none" w:sz="0" w:space="0" w:color="auto"/>
            <w:left w:val="none" w:sz="0" w:space="0" w:color="auto"/>
            <w:bottom w:val="none" w:sz="0" w:space="0" w:color="auto"/>
            <w:right w:val="none" w:sz="0" w:space="0" w:color="auto"/>
          </w:divBdr>
        </w:div>
        <w:div w:id="1604417493">
          <w:marLeft w:val="0"/>
          <w:marRight w:val="0"/>
          <w:marTop w:val="0"/>
          <w:marBottom w:val="0"/>
          <w:divBdr>
            <w:top w:val="none" w:sz="0" w:space="0" w:color="auto"/>
            <w:left w:val="none" w:sz="0" w:space="0" w:color="auto"/>
            <w:bottom w:val="none" w:sz="0" w:space="0" w:color="auto"/>
            <w:right w:val="none" w:sz="0" w:space="0" w:color="auto"/>
          </w:divBdr>
        </w:div>
        <w:div w:id="1065563088">
          <w:marLeft w:val="0"/>
          <w:marRight w:val="0"/>
          <w:marTop w:val="0"/>
          <w:marBottom w:val="0"/>
          <w:divBdr>
            <w:top w:val="none" w:sz="0" w:space="0" w:color="auto"/>
            <w:left w:val="none" w:sz="0" w:space="0" w:color="auto"/>
            <w:bottom w:val="none" w:sz="0" w:space="0" w:color="auto"/>
            <w:right w:val="none" w:sz="0" w:space="0" w:color="auto"/>
          </w:divBdr>
        </w:div>
        <w:div w:id="1169909951">
          <w:marLeft w:val="0"/>
          <w:marRight w:val="0"/>
          <w:marTop w:val="0"/>
          <w:marBottom w:val="0"/>
          <w:divBdr>
            <w:top w:val="none" w:sz="0" w:space="0" w:color="auto"/>
            <w:left w:val="none" w:sz="0" w:space="0" w:color="auto"/>
            <w:bottom w:val="none" w:sz="0" w:space="0" w:color="auto"/>
            <w:right w:val="none" w:sz="0" w:space="0" w:color="auto"/>
          </w:divBdr>
        </w:div>
        <w:div w:id="254943672">
          <w:marLeft w:val="0"/>
          <w:marRight w:val="0"/>
          <w:marTop w:val="0"/>
          <w:marBottom w:val="0"/>
          <w:divBdr>
            <w:top w:val="none" w:sz="0" w:space="0" w:color="auto"/>
            <w:left w:val="none" w:sz="0" w:space="0" w:color="auto"/>
            <w:bottom w:val="none" w:sz="0" w:space="0" w:color="auto"/>
            <w:right w:val="none" w:sz="0" w:space="0" w:color="auto"/>
          </w:divBdr>
        </w:div>
        <w:div w:id="346180775">
          <w:marLeft w:val="0"/>
          <w:marRight w:val="0"/>
          <w:marTop w:val="0"/>
          <w:marBottom w:val="0"/>
          <w:divBdr>
            <w:top w:val="none" w:sz="0" w:space="0" w:color="auto"/>
            <w:left w:val="none" w:sz="0" w:space="0" w:color="auto"/>
            <w:bottom w:val="none" w:sz="0" w:space="0" w:color="auto"/>
            <w:right w:val="none" w:sz="0" w:space="0" w:color="auto"/>
          </w:divBdr>
        </w:div>
        <w:div w:id="997995961">
          <w:marLeft w:val="0"/>
          <w:marRight w:val="0"/>
          <w:marTop w:val="0"/>
          <w:marBottom w:val="0"/>
          <w:divBdr>
            <w:top w:val="none" w:sz="0" w:space="0" w:color="auto"/>
            <w:left w:val="none" w:sz="0" w:space="0" w:color="auto"/>
            <w:bottom w:val="none" w:sz="0" w:space="0" w:color="auto"/>
            <w:right w:val="none" w:sz="0" w:space="0" w:color="auto"/>
          </w:divBdr>
        </w:div>
        <w:div w:id="510607251">
          <w:marLeft w:val="0"/>
          <w:marRight w:val="0"/>
          <w:marTop w:val="0"/>
          <w:marBottom w:val="0"/>
          <w:divBdr>
            <w:top w:val="none" w:sz="0" w:space="0" w:color="auto"/>
            <w:left w:val="none" w:sz="0" w:space="0" w:color="auto"/>
            <w:bottom w:val="none" w:sz="0" w:space="0" w:color="auto"/>
            <w:right w:val="none" w:sz="0" w:space="0" w:color="auto"/>
          </w:divBdr>
        </w:div>
        <w:div w:id="159780949">
          <w:marLeft w:val="0"/>
          <w:marRight w:val="0"/>
          <w:marTop w:val="0"/>
          <w:marBottom w:val="0"/>
          <w:divBdr>
            <w:top w:val="none" w:sz="0" w:space="0" w:color="auto"/>
            <w:left w:val="none" w:sz="0" w:space="0" w:color="auto"/>
            <w:bottom w:val="none" w:sz="0" w:space="0" w:color="auto"/>
            <w:right w:val="none" w:sz="0" w:space="0" w:color="auto"/>
          </w:divBdr>
        </w:div>
        <w:div w:id="514736185">
          <w:marLeft w:val="0"/>
          <w:marRight w:val="0"/>
          <w:marTop w:val="0"/>
          <w:marBottom w:val="0"/>
          <w:divBdr>
            <w:top w:val="none" w:sz="0" w:space="0" w:color="auto"/>
            <w:left w:val="none" w:sz="0" w:space="0" w:color="auto"/>
            <w:bottom w:val="none" w:sz="0" w:space="0" w:color="auto"/>
            <w:right w:val="none" w:sz="0" w:space="0" w:color="auto"/>
          </w:divBdr>
        </w:div>
        <w:div w:id="1975479553">
          <w:marLeft w:val="0"/>
          <w:marRight w:val="0"/>
          <w:marTop w:val="0"/>
          <w:marBottom w:val="0"/>
          <w:divBdr>
            <w:top w:val="none" w:sz="0" w:space="0" w:color="auto"/>
            <w:left w:val="none" w:sz="0" w:space="0" w:color="auto"/>
            <w:bottom w:val="none" w:sz="0" w:space="0" w:color="auto"/>
            <w:right w:val="none" w:sz="0" w:space="0" w:color="auto"/>
          </w:divBdr>
        </w:div>
        <w:div w:id="1683511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6831</Characters>
  <Application>Microsoft Office Word</Application>
  <DocSecurity>0</DocSecurity>
  <Lines>56</Lines>
  <Paragraphs>16</Paragraphs>
  <ScaleCrop>false</ScaleCrop>
  <Company/>
  <LinksUpToDate>false</LinksUpToDate>
  <CharactersWithSpaces>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2020-04-26T11:45:00Z</dcterms:created>
  <dcterms:modified xsi:type="dcterms:W3CDTF">2020-04-26T11:46:00Z</dcterms:modified>
</cp:coreProperties>
</file>