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D31" w:rsidRPr="00920D31" w:rsidRDefault="00920D31" w:rsidP="00920D31">
      <w:pPr>
        <w:jc w:val="center"/>
        <w:rPr>
          <w:sz w:val="32"/>
          <w:szCs w:val="32"/>
        </w:rPr>
      </w:pPr>
      <w:bookmarkStart w:id="0" w:name="Anchor1"/>
      <w:bookmarkEnd w:id="0"/>
      <w:r w:rsidRPr="00920D31">
        <w:rPr>
          <w:sz w:val="32"/>
          <w:szCs w:val="32"/>
          <w:rtl/>
        </w:rPr>
        <w:t xml:space="preserve">الطعن رقم </w:t>
      </w:r>
      <w:r w:rsidRPr="00920D31">
        <w:rPr>
          <w:sz w:val="32"/>
          <w:szCs w:val="32"/>
        </w:rPr>
        <w:t>605/20</w:t>
      </w:r>
      <w:bookmarkStart w:id="1" w:name="_GoBack"/>
      <w:bookmarkEnd w:id="1"/>
      <w:r w:rsidRPr="00920D31">
        <w:rPr>
          <w:sz w:val="32"/>
          <w:szCs w:val="32"/>
        </w:rPr>
        <w:t>09</w:t>
      </w:r>
    </w:p>
    <w:p w:rsidR="00920D31" w:rsidRPr="00920D31" w:rsidRDefault="00920D31" w:rsidP="00920D31">
      <w:pPr>
        <w:rPr>
          <w:sz w:val="32"/>
          <w:szCs w:val="32"/>
        </w:rPr>
      </w:pPr>
      <w:bookmarkStart w:id="2" w:name="Anchor7"/>
      <w:bookmarkEnd w:id="2"/>
      <w:r w:rsidRPr="00920D31">
        <w:rPr>
          <w:sz w:val="32"/>
          <w:szCs w:val="32"/>
          <w:rtl/>
        </w:rPr>
        <w:t>هيئة المحكمة</w:t>
      </w:r>
      <w:r w:rsidRPr="00920D31">
        <w:rPr>
          <w:sz w:val="32"/>
          <w:szCs w:val="32"/>
        </w:rPr>
        <w:t xml:space="preserve">: </w:t>
      </w:r>
      <w:r w:rsidRPr="00920D31">
        <w:rPr>
          <w:sz w:val="32"/>
          <w:szCs w:val="32"/>
          <w:rtl/>
        </w:rPr>
        <w:t xml:space="preserve">برئاسة السيد المستشار عبدالهادي العطار وكيل المحكمة وعضوية السادة المستشارين محمود عطا ومحمود عبداللطيف وناصر مشالي ورمضان عثمان </w:t>
      </w:r>
    </w:p>
    <w:bookmarkStart w:id="3" w:name="Anchor24"/>
    <w:bookmarkEnd w:id="3"/>
    <w:p w:rsidR="00920D31" w:rsidRPr="00920D31" w:rsidRDefault="00920D31" w:rsidP="00920D31">
      <w:pPr>
        <w:rPr>
          <w:sz w:val="32"/>
          <w:szCs w:val="32"/>
        </w:rPr>
      </w:pPr>
      <w:r w:rsidRPr="00920D31">
        <w:rPr>
          <w:sz w:val="32"/>
          <w:szCs w:val="32"/>
        </w:rPr>
        <w:fldChar w:fldCharType="begin"/>
      </w:r>
      <w:r w:rsidRPr="00920D31">
        <w:rPr>
          <w:sz w:val="32"/>
          <w:szCs w:val="32"/>
        </w:rPr>
        <w:instrText xml:space="preserve"> HYPERLINK "http://www.law.gov.kw/KWT_CC-Ar/00_2014/00_%D8%A7%D9%84%D8%AF%D8%A7%D8%A6%D8%B1%D8%A9%20%D8%A7%D9%84%D8%AA%D8%AC%D8%A7%D8%B1%D9%8A%D8%A9/KWT-CC-Ar_2014-06-04_00605_Taan.html" \l "TM2014_605_1" </w:instrText>
      </w:r>
      <w:r w:rsidRPr="00920D31">
        <w:rPr>
          <w:sz w:val="32"/>
          <w:szCs w:val="32"/>
        </w:rPr>
        <w:fldChar w:fldCharType="separate"/>
      </w:r>
      <w:r w:rsidRPr="00920D31">
        <w:rPr>
          <w:rStyle w:val="Hyperlink"/>
          <w:sz w:val="32"/>
          <w:szCs w:val="32"/>
        </w:rPr>
        <w:t xml:space="preserve">1 – </w:t>
      </w:r>
      <w:r w:rsidRPr="00920D31">
        <w:rPr>
          <w:rStyle w:val="Hyperlink"/>
          <w:sz w:val="32"/>
          <w:szCs w:val="32"/>
          <w:rtl/>
        </w:rPr>
        <w:t>إن المطالبة القضائية هي إجراء يوجّه الى المحكمة ضد المدعى عليه ويتحدد به نطاق الدعوى</w:t>
      </w:r>
      <w:r w:rsidRPr="00920D31">
        <w:rPr>
          <w:rStyle w:val="Hyperlink"/>
          <w:sz w:val="32"/>
          <w:szCs w:val="32"/>
        </w:rPr>
        <w:t>.</w:t>
      </w:r>
      <w:r w:rsidRPr="00920D31">
        <w:rPr>
          <w:sz w:val="32"/>
          <w:szCs w:val="32"/>
        </w:rPr>
        <w:fldChar w:fldCharType="end"/>
      </w:r>
    </w:p>
    <w:bookmarkStart w:id="4" w:name="Anchor34"/>
    <w:bookmarkEnd w:id="4"/>
    <w:p w:rsidR="00920D31" w:rsidRPr="00920D31" w:rsidRDefault="00920D31" w:rsidP="00920D31">
      <w:pPr>
        <w:rPr>
          <w:sz w:val="32"/>
          <w:szCs w:val="32"/>
        </w:rPr>
      </w:pPr>
      <w:r w:rsidRPr="00920D31">
        <w:rPr>
          <w:sz w:val="32"/>
          <w:szCs w:val="32"/>
        </w:rPr>
        <w:fldChar w:fldCharType="begin"/>
      </w:r>
      <w:r w:rsidRPr="00920D31">
        <w:rPr>
          <w:sz w:val="32"/>
          <w:szCs w:val="32"/>
        </w:rPr>
        <w:instrText xml:space="preserve"> HYPERLINK "http://www.law.gov.kw/KWT_CC-Ar/00_2014/00_%D8%A7%D9%84%D8%AF%D8%A7%D8%A6%D8%B1%D8%A9%20%D8%A7%D9%84%D8%AA%D8%AC%D8%A7%D8%B1%D9%8A%D8%A9/KWT-CC-Ar_2014-06-04_00605_Taan.html" \l "TM2014_605_2" </w:instrText>
      </w:r>
      <w:r w:rsidRPr="00920D31">
        <w:rPr>
          <w:sz w:val="32"/>
          <w:szCs w:val="32"/>
        </w:rPr>
        <w:fldChar w:fldCharType="separate"/>
      </w:r>
      <w:r w:rsidRPr="00920D31">
        <w:rPr>
          <w:rStyle w:val="Hyperlink"/>
          <w:sz w:val="32"/>
          <w:szCs w:val="32"/>
        </w:rPr>
        <w:t xml:space="preserve">2 – </w:t>
      </w:r>
      <w:r w:rsidRPr="00920D31">
        <w:rPr>
          <w:rStyle w:val="Hyperlink"/>
          <w:sz w:val="32"/>
          <w:szCs w:val="32"/>
          <w:rtl/>
        </w:rPr>
        <w:t>ان لمحكمة الموضوع سلطة تكييف الدعوى وإعطائها الوصف القانوني الصحيح دون ان يجوز لها تغيير سبب الدعوى وحقيقة طلبات الخصوم إذ إن سبب الدعوى هو الأساس القانوني للحق المدعى به</w:t>
      </w:r>
      <w:r w:rsidRPr="00920D31">
        <w:rPr>
          <w:rStyle w:val="Hyperlink"/>
          <w:sz w:val="32"/>
          <w:szCs w:val="32"/>
        </w:rPr>
        <w:t>.</w:t>
      </w:r>
      <w:r w:rsidRPr="00920D31">
        <w:rPr>
          <w:sz w:val="32"/>
          <w:szCs w:val="32"/>
        </w:rPr>
        <w:fldChar w:fldCharType="end"/>
      </w:r>
    </w:p>
    <w:bookmarkStart w:id="5" w:name="Anchor53"/>
    <w:bookmarkEnd w:id="5"/>
    <w:p w:rsidR="00920D31" w:rsidRPr="00920D31" w:rsidRDefault="00920D31" w:rsidP="00920D31">
      <w:pPr>
        <w:rPr>
          <w:sz w:val="32"/>
          <w:szCs w:val="32"/>
        </w:rPr>
      </w:pPr>
      <w:r w:rsidRPr="00920D31">
        <w:rPr>
          <w:sz w:val="32"/>
          <w:szCs w:val="32"/>
        </w:rPr>
        <w:fldChar w:fldCharType="begin"/>
      </w:r>
      <w:r w:rsidRPr="00920D31">
        <w:rPr>
          <w:sz w:val="32"/>
          <w:szCs w:val="32"/>
        </w:rPr>
        <w:instrText xml:space="preserve"> HYPERLINK "http://www.law.gov.kw/KWT_CC-Ar/00_2014/00_%D8%A7%D9%84%D8%AF%D8%A7%D8%A6%D8%B1%D8%A9%20%D8%A7%D9%84%D8%AA%D8%AC%D8%A7%D8%B1%D9%8A%D8%A9/KWT-CC-Ar_2014-06-04_00605_Taan.html" \l "TM2014_605_3" </w:instrText>
      </w:r>
      <w:r w:rsidRPr="00920D31">
        <w:rPr>
          <w:sz w:val="32"/>
          <w:szCs w:val="32"/>
        </w:rPr>
        <w:fldChar w:fldCharType="separate"/>
      </w:r>
      <w:r w:rsidRPr="00920D31">
        <w:rPr>
          <w:rStyle w:val="Hyperlink"/>
          <w:sz w:val="32"/>
          <w:szCs w:val="32"/>
        </w:rPr>
        <w:t xml:space="preserve">3 – </w:t>
      </w:r>
      <w:r w:rsidRPr="00920D31">
        <w:rPr>
          <w:rStyle w:val="Hyperlink"/>
          <w:sz w:val="32"/>
          <w:szCs w:val="32"/>
          <w:rtl/>
        </w:rPr>
        <w:t>إن إقامة الدعوى على اساس قواعد الإثراء بلا سبب وإتخاذ محكمة الموضوع هذه القواعد سنداً لقضائها يؤدي الى وجوب إخضاع الدعوى للأحكام العامة للإثراء لا سيما التقادم</w:t>
      </w:r>
      <w:r w:rsidRPr="00920D31">
        <w:rPr>
          <w:rStyle w:val="Hyperlink"/>
          <w:sz w:val="32"/>
          <w:szCs w:val="32"/>
        </w:rPr>
        <w:t>.</w:t>
      </w:r>
      <w:r w:rsidRPr="00920D31">
        <w:rPr>
          <w:sz w:val="32"/>
          <w:szCs w:val="32"/>
        </w:rPr>
        <w:fldChar w:fldCharType="end"/>
      </w:r>
    </w:p>
    <w:bookmarkStart w:id="6" w:name="Anchor72"/>
    <w:bookmarkEnd w:id="6"/>
    <w:p w:rsidR="00920D31" w:rsidRPr="00920D31" w:rsidRDefault="00920D31" w:rsidP="00920D31">
      <w:pPr>
        <w:rPr>
          <w:sz w:val="32"/>
          <w:szCs w:val="32"/>
        </w:rPr>
      </w:pPr>
      <w:r w:rsidRPr="00920D31">
        <w:rPr>
          <w:sz w:val="32"/>
          <w:szCs w:val="32"/>
        </w:rPr>
        <w:fldChar w:fldCharType="begin"/>
      </w:r>
      <w:r w:rsidRPr="00920D31">
        <w:rPr>
          <w:sz w:val="32"/>
          <w:szCs w:val="32"/>
        </w:rPr>
        <w:instrText xml:space="preserve"> HYPERLINK "http://www.law.gov.kw/KWT_CC-Ar/00_2014/00_%D8%A7%D9%84%D8%AF%D8%A7%D8%A6%D8%B1%D8%A9%20%D8%A7%D9%84%D8%AA%D8%AC%D8%A7%D8%B1%D9%8A%D8%A9/KWT-CC-Ar_2014-06-04_00605_Taan.html" \l "TM2014_605_4" </w:instrText>
      </w:r>
      <w:r w:rsidRPr="00920D31">
        <w:rPr>
          <w:sz w:val="32"/>
          <w:szCs w:val="32"/>
        </w:rPr>
        <w:fldChar w:fldCharType="separate"/>
      </w:r>
      <w:r w:rsidRPr="00920D31">
        <w:rPr>
          <w:rStyle w:val="Hyperlink"/>
          <w:sz w:val="32"/>
          <w:szCs w:val="32"/>
        </w:rPr>
        <w:t xml:space="preserve">4 – </w:t>
      </w:r>
      <w:r w:rsidRPr="00920D31">
        <w:rPr>
          <w:rStyle w:val="Hyperlink"/>
          <w:sz w:val="32"/>
          <w:szCs w:val="32"/>
          <w:rtl/>
        </w:rPr>
        <w:t>ان على محكمة الموضوع ان تجيب على دفع او دفاع جوهري يؤدي الى تغيير وجه الرأي في الدعوى</w:t>
      </w:r>
      <w:r w:rsidRPr="00920D31">
        <w:rPr>
          <w:rStyle w:val="Hyperlink"/>
          <w:sz w:val="32"/>
          <w:szCs w:val="32"/>
        </w:rPr>
        <w:t>.</w:t>
      </w:r>
      <w:r w:rsidRPr="00920D31">
        <w:rPr>
          <w:sz w:val="32"/>
          <w:szCs w:val="32"/>
        </w:rPr>
        <w:fldChar w:fldCharType="end"/>
      </w:r>
    </w:p>
    <w:bookmarkStart w:id="7" w:name="Anchor82"/>
    <w:bookmarkEnd w:id="7"/>
    <w:p w:rsidR="00920D31" w:rsidRPr="00920D31" w:rsidRDefault="00920D31" w:rsidP="00920D31">
      <w:pPr>
        <w:rPr>
          <w:sz w:val="32"/>
          <w:szCs w:val="32"/>
        </w:rPr>
      </w:pPr>
      <w:r w:rsidRPr="00920D31">
        <w:rPr>
          <w:sz w:val="32"/>
          <w:szCs w:val="32"/>
        </w:rPr>
        <w:fldChar w:fldCharType="begin"/>
      </w:r>
      <w:r w:rsidRPr="00920D31">
        <w:rPr>
          <w:sz w:val="32"/>
          <w:szCs w:val="32"/>
        </w:rPr>
        <w:instrText xml:space="preserve"> HYPERLINK "http://www.law.gov.kw/KWT_CC-Ar/00_2014/00_%D8%A7%D9%84%D8%AF%D8%A7%D8%A6%D8%B1%D8%A9%20%D8%A7%D9%84%D8%AA%D8%AC%D8%A7%D8%B1%D9%8A%D8%A9/KWT-CC-Ar_2014-06-04_00605_Taan.html" \l "TM2014_605_5" </w:instrText>
      </w:r>
      <w:r w:rsidRPr="00920D31">
        <w:rPr>
          <w:sz w:val="32"/>
          <w:szCs w:val="32"/>
        </w:rPr>
        <w:fldChar w:fldCharType="separate"/>
      </w:r>
      <w:r w:rsidRPr="00920D31">
        <w:rPr>
          <w:rStyle w:val="Hyperlink"/>
          <w:sz w:val="32"/>
          <w:szCs w:val="32"/>
        </w:rPr>
        <w:t xml:space="preserve">5 – </w:t>
      </w:r>
      <w:r w:rsidRPr="00920D31">
        <w:rPr>
          <w:rStyle w:val="Hyperlink"/>
          <w:sz w:val="32"/>
          <w:szCs w:val="32"/>
          <w:rtl/>
        </w:rPr>
        <w:t>ان بدء سريان التقادم فيما يتعلق بإلتزامات التجار تجاه بعضهم هو من اليوم الذي يصبح فيه الدين مستحق الاداء</w:t>
      </w:r>
      <w:r w:rsidRPr="00920D31">
        <w:rPr>
          <w:rStyle w:val="Hyperlink"/>
          <w:sz w:val="32"/>
          <w:szCs w:val="32"/>
        </w:rPr>
        <w:t>.</w:t>
      </w:r>
      <w:r w:rsidRPr="00920D31">
        <w:rPr>
          <w:sz w:val="32"/>
          <w:szCs w:val="32"/>
        </w:rPr>
        <w:fldChar w:fldCharType="end"/>
      </w:r>
    </w:p>
    <w:bookmarkStart w:id="8" w:name="Anchor94"/>
    <w:bookmarkEnd w:id="8"/>
    <w:p w:rsidR="00920D31" w:rsidRPr="00920D31" w:rsidRDefault="00920D31" w:rsidP="00920D31">
      <w:pPr>
        <w:rPr>
          <w:sz w:val="32"/>
          <w:szCs w:val="32"/>
        </w:rPr>
      </w:pPr>
      <w:r w:rsidRPr="00920D31">
        <w:rPr>
          <w:sz w:val="32"/>
          <w:szCs w:val="32"/>
        </w:rPr>
        <w:fldChar w:fldCharType="begin"/>
      </w:r>
      <w:r w:rsidRPr="00920D31">
        <w:rPr>
          <w:sz w:val="32"/>
          <w:szCs w:val="32"/>
        </w:rPr>
        <w:instrText xml:space="preserve"> HYPERLINK "http://www.law.gov.kw/KWT_CC-Ar/00_2014/00_%D8%A7%D9%84%D8%AF%D8%A7%D8%A6%D8%B1%D8%A9%20%D8%A7%D9%84%D8%AA%D8%AC%D8%A7%D8%B1%D9%8A%D8%A9/KWT-CC-Ar_2014-06-04_00605_Taan.html" \l "TM2014_605_6" </w:instrText>
      </w:r>
      <w:r w:rsidRPr="00920D31">
        <w:rPr>
          <w:sz w:val="32"/>
          <w:szCs w:val="32"/>
        </w:rPr>
        <w:fldChar w:fldCharType="separate"/>
      </w:r>
      <w:r w:rsidRPr="00920D31">
        <w:rPr>
          <w:rStyle w:val="Hyperlink"/>
          <w:sz w:val="32"/>
          <w:szCs w:val="32"/>
        </w:rPr>
        <w:t xml:space="preserve">6 – </w:t>
      </w:r>
      <w:r w:rsidRPr="00920D31">
        <w:rPr>
          <w:rStyle w:val="Hyperlink"/>
          <w:sz w:val="32"/>
          <w:szCs w:val="32"/>
          <w:rtl/>
        </w:rPr>
        <w:t>ان دعوى الإثراء بلا سبب القائمة بين التجار لا تخضع للتقادم العشري الساري على إلتزامات التجار إذ ليست منازعة متعلقة بإلتزامات التجار</w:t>
      </w:r>
      <w:r w:rsidRPr="00920D31">
        <w:rPr>
          <w:rStyle w:val="Hyperlink"/>
          <w:sz w:val="32"/>
          <w:szCs w:val="32"/>
        </w:rPr>
        <w:t>.</w:t>
      </w:r>
      <w:r w:rsidRPr="00920D31">
        <w:rPr>
          <w:sz w:val="32"/>
          <w:szCs w:val="32"/>
        </w:rPr>
        <w:fldChar w:fldCharType="end"/>
      </w:r>
    </w:p>
    <w:bookmarkStart w:id="9" w:name="Anchor109"/>
    <w:bookmarkEnd w:id="9"/>
    <w:p w:rsidR="00920D31" w:rsidRPr="00920D31" w:rsidRDefault="00920D31" w:rsidP="00920D31">
      <w:pPr>
        <w:rPr>
          <w:sz w:val="32"/>
          <w:szCs w:val="32"/>
        </w:rPr>
      </w:pPr>
      <w:r w:rsidRPr="00920D31">
        <w:rPr>
          <w:sz w:val="32"/>
          <w:szCs w:val="32"/>
        </w:rPr>
        <w:fldChar w:fldCharType="begin"/>
      </w:r>
      <w:r w:rsidRPr="00920D31">
        <w:rPr>
          <w:sz w:val="32"/>
          <w:szCs w:val="32"/>
        </w:rPr>
        <w:instrText xml:space="preserve"> HYPERLINK "http://www.law.gov.kw/KWT_CC-Ar/00_2014/00_%D8%A7%D9%84%D8%AF%D8%A7%D8%A6%D8%B1%D8%A9%20%D8%A7%D9%84%D8%AA%D8%AC%D8%A7%D8%B1%D9%8A%D8%A9/KWT-CC-Ar_2014-06-04_00605_Taan.html" \l "TM2014_605_7" </w:instrText>
      </w:r>
      <w:r w:rsidRPr="00920D31">
        <w:rPr>
          <w:sz w:val="32"/>
          <w:szCs w:val="32"/>
        </w:rPr>
        <w:fldChar w:fldCharType="separate"/>
      </w:r>
      <w:r w:rsidRPr="00920D31">
        <w:rPr>
          <w:rStyle w:val="Hyperlink"/>
          <w:sz w:val="32"/>
          <w:szCs w:val="32"/>
        </w:rPr>
        <w:t xml:space="preserve">7 – </w:t>
      </w:r>
      <w:r w:rsidRPr="00920D31">
        <w:rPr>
          <w:rStyle w:val="Hyperlink"/>
          <w:sz w:val="32"/>
          <w:szCs w:val="32"/>
          <w:rtl/>
        </w:rPr>
        <w:t>إن كل من يثري على حساب غيره بدون سبب مشروع يلتزم بأن يؤدي له ما يدفع الخسارة عنه حسب احكام القانون المدني</w:t>
      </w:r>
      <w:r w:rsidRPr="00920D31">
        <w:rPr>
          <w:rStyle w:val="Hyperlink"/>
          <w:sz w:val="32"/>
          <w:szCs w:val="32"/>
        </w:rPr>
        <w:t>.</w:t>
      </w:r>
      <w:r w:rsidRPr="00920D31">
        <w:rPr>
          <w:sz w:val="32"/>
          <w:szCs w:val="32"/>
        </w:rPr>
        <w:fldChar w:fldCharType="end"/>
      </w:r>
    </w:p>
    <w:bookmarkStart w:id="10" w:name="Anchor120"/>
    <w:bookmarkEnd w:id="10"/>
    <w:p w:rsidR="00920D31" w:rsidRPr="00920D31" w:rsidRDefault="00920D31" w:rsidP="00920D31">
      <w:pPr>
        <w:rPr>
          <w:sz w:val="32"/>
          <w:szCs w:val="32"/>
        </w:rPr>
      </w:pPr>
      <w:r w:rsidRPr="00920D31">
        <w:rPr>
          <w:sz w:val="32"/>
          <w:szCs w:val="32"/>
        </w:rPr>
        <w:fldChar w:fldCharType="begin"/>
      </w:r>
      <w:r w:rsidRPr="00920D31">
        <w:rPr>
          <w:sz w:val="32"/>
          <w:szCs w:val="32"/>
        </w:rPr>
        <w:instrText xml:space="preserve"> HYPERLINK "http://www.law.gov.kw/KWT_CC-Ar/00_2014/00_%D8%A7%D9%84%D8%AF%D8%A7%D8%A6%D8%B1%D8%A9%20%D8%A7%D9%84%D8%AA%D8%AC%D8%A7%D8%B1%D9%8A%D8%A9/KWT-CC-Ar_2014-06-04_00605_Taan.html" \l "TM2014_605_8" </w:instrText>
      </w:r>
      <w:r w:rsidRPr="00920D31">
        <w:rPr>
          <w:sz w:val="32"/>
          <w:szCs w:val="32"/>
        </w:rPr>
        <w:fldChar w:fldCharType="separate"/>
      </w:r>
      <w:r w:rsidRPr="00920D31">
        <w:rPr>
          <w:rStyle w:val="Hyperlink"/>
          <w:sz w:val="32"/>
          <w:szCs w:val="32"/>
        </w:rPr>
        <w:t xml:space="preserve">8 – </w:t>
      </w:r>
      <w:r w:rsidRPr="00920D31">
        <w:rPr>
          <w:rStyle w:val="Hyperlink"/>
          <w:sz w:val="32"/>
          <w:szCs w:val="32"/>
          <w:rtl/>
        </w:rPr>
        <w:t>إن دعوى الإثراء بلا سبب بمضي ثلاث سنوات من اليوم الذي يعلم فيه من لحقه الضرر بحقه في التعويض او بإنقضاء خمس عشرة سنة من تاريخ نشوء الحق</w:t>
      </w:r>
      <w:r w:rsidRPr="00920D31">
        <w:rPr>
          <w:sz w:val="32"/>
          <w:szCs w:val="32"/>
        </w:rPr>
        <w:fldChar w:fldCharType="end"/>
      </w:r>
      <w:r w:rsidRPr="00920D31">
        <w:rPr>
          <w:sz w:val="32"/>
          <w:szCs w:val="32"/>
        </w:rPr>
        <w:t xml:space="preserve"> </w:t>
      </w:r>
    </w:p>
    <w:bookmarkStart w:id="11" w:name="Anchor134"/>
    <w:bookmarkEnd w:id="11"/>
    <w:p w:rsidR="00920D31" w:rsidRPr="00920D31" w:rsidRDefault="00920D31" w:rsidP="00920D31">
      <w:pPr>
        <w:rPr>
          <w:sz w:val="32"/>
          <w:szCs w:val="32"/>
        </w:rPr>
      </w:pPr>
      <w:r w:rsidRPr="00920D31">
        <w:rPr>
          <w:sz w:val="32"/>
          <w:szCs w:val="32"/>
        </w:rPr>
        <w:fldChar w:fldCharType="begin"/>
      </w:r>
      <w:r w:rsidRPr="00920D31">
        <w:rPr>
          <w:sz w:val="32"/>
          <w:szCs w:val="32"/>
        </w:rPr>
        <w:instrText xml:space="preserve"> HYPERLINK "http://www.law.gov.kw/KWT_CC-Ar/00_2014/00_%D8%A7%D9%84%D8%AF%D8%A7%D8%A6%D8%B1%D8%A9%20%D8%A7%D9%84%D8%AA%D8%AC%D8%A7%D8%B1%D9%8A%D8%A9/KWT-CC-Ar_2014-06-04_00605_Taan.html" \l "TM2014_605_9" </w:instrText>
      </w:r>
      <w:r w:rsidRPr="00920D31">
        <w:rPr>
          <w:sz w:val="32"/>
          <w:szCs w:val="32"/>
        </w:rPr>
        <w:fldChar w:fldCharType="separate"/>
      </w:r>
      <w:r w:rsidRPr="00920D31">
        <w:rPr>
          <w:rStyle w:val="Hyperlink"/>
          <w:sz w:val="32"/>
          <w:szCs w:val="32"/>
        </w:rPr>
        <w:t xml:space="preserve">9 – </w:t>
      </w:r>
      <w:r w:rsidRPr="00920D31">
        <w:rPr>
          <w:rStyle w:val="Hyperlink"/>
          <w:sz w:val="32"/>
          <w:szCs w:val="32"/>
          <w:rtl/>
        </w:rPr>
        <w:t>إن على محكمة الموضوع ان تبحث شروط التقادم في حال الإدلاء به امامها</w:t>
      </w:r>
      <w:r w:rsidRPr="00920D31">
        <w:rPr>
          <w:rStyle w:val="Hyperlink"/>
          <w:sz w:val="32"/>
          <w:szCs w:val="32"/>
        </w:rPr>
        <w:t>.</w:t>
      </w:r>
      <w:r w:rsidRPr="00920D31">
        <w:rPr>
          <w:sz w:val="32"/>
          <w:szCs w:val="32"/>
        </w:rPr>
        <w:fldChar w:fldCharType="end"/>
      </w:r>
    </w:p>
    <w:bookmarkStart w:id="12" w:name="Anchor142"/>
    <w:bookmarkEnd w:id="12"/>
    <w:p w:rsidR="00920D31" w:rsidRPr="00920D31" w:rsidRDefault="00920D31" w:rsidP="00920D31">
      <w:pPr>
        <w:rPr>
          <w:sz w:val="32"/>
          <w:szCs w:val="32"/>
        </w:rPr>
      </w:pPr>
      <w:r w:rsidRPr="00920D31">
        <w:rPr>
          <w:sz w:val="32"/>
          <w:szCs w:val="32"/>
        </w:rPr>
        <w:fldChar w:fldCharType="begin"/>
      </w:r>
      <w:r w:rsidRPr="00920D31">
        <w:rPr>
          <w:sz w:val="32"/>
          <w:szCs w:val="32"/>
        </w:rPr>
        <w:instrText xml:space="preserve"> HYPERLINK "http://www.law.gov.kw/KWT_CC-Ar/00_2014/00_%D8%A7%D9%84%D8%AF%D8%A7%D8%A6%D8%B1%D8%A9%20%D8%A7%D9%84%D8%AA%D8%AC%D8%A7%D8%B1%D9%8A%D8%A9/KWT-CC-Ar_2014-06-04_00605_Taan.html" \l "TM2014_605_10" </w:instrText>
      </w:r>
      <w:r w:rsidRPr="00920D31">
        <w:rPr>
          <w:sz w:val="32"/>
          <w:szCs w:val="32"/>
        </w:rPr>
        <w:fldChar w:fldCharType="separate"/>
      </w:r>
      <w:r w:rsidRPr="00920D31">
        <w:rPr>
          <w:rStyle w:val="Hyperlink"/>
          <w:sz w:val="32"/>
          <w:szCs w:val="32"/>
        </w:rPr>
        <w:t xml:space="preserve">10 – </w:t>
      </w:r>
      <w:r w:rsidRPr="00920D31">
        <w:rPr>
          <w:rStyle w:val="Hyperlink"/>
          <w:sz w:val="32"/>
          <w:szCs w:val="32"/>
          <w:rtl/>
        </w:rPr>
        <w:t>إن المدة المقررة لعدم سماع الدعوى بالتقادم تنقطع بإقرار المدين بحق دائنه او بالمطالبة القضائية</w:t>
      </w:r>
      <w:r w:rsidRPr="00920D31">
        <w:rPr>
          <w:rStyle w:val="Hyperlink"/>
          <w:sz w:val="32"/>
          <w:szCs w:val="32"/>
        </w:rPr>
        <w:t>.</w:t>
      </w:r>
      <w:r w:rsidRPr="00920D31">
        <w:rPr>
          <w:sz w:val="32"/>
          <w:szCs w:val="32"/>
        </w:rPr>
        <w:fldChar w:fldCharType="end"/>
      </w:r>
    </w:p>
    <w:bookmarkStart w:id="13" w:name="Anchor153"/>
    <w:bookmarkEnd w:id="13"/>
    <w:p w:rsidR="00920D31" w:rsidRPr="00920D31" w:rsidRDefault="00920D31" w:rsidP="00920D31">
      <w:pPr>
        <w:rPr>
          <w:sz w:val="32"/>
          <w:szCs w:val="32"/>
        </w:rPr>
      </w:pPr>
      <w:r w:rsidRPr="00920D31">
        <w:rPr>
          <w:sz w:val="32"/>
          <w:szCs w:val="32"/>
        </w:rPr>
        <w:lastRenderedPageBreak/>
        <w:fldChar w:fldCharType="begin"/>
      </w:r>
      <w:r w:rsidRPr="00920D31">
        <w:rPr>
          <w:sz w:val="32"/>
          <w:szCs w:val="32"/>
        </w:rPr>
        <w:instrText xml:space="preserve"> HYPERLINK "http://www.law.gov.kw/KWT_CC-Ar/00_2014/00_%D8%A7%D9%84%D8%AF%D8%A7%D8%A6%D8%B1%D8%A9%20%D8%A7%D9%84%D8%AA%D8%AC%D8%A7%D8%B1%D9%8A%D8%A9/KWT-CC-Ar_2014-06-04_00605_Taan.html" \l "TM2014_605_11" </w:instrText>
      </w:r>
      <w:r w:rsidRPr="00920D31">
        <w:rPr>
          <w:sz w:val="32"/>
          <w:szCs w:val="32"/>
        </w:rPr>
        <w:fldChar w:fldCharType="separate"/>
      </w:r>
      <w:r w:rsidRPr="00920D31">
        <w:rPr>
          <w:rStyle w:val="Hyperlink"/>
          <w:sz w:val="32"/>
          <w:szCs w:val="32"/>
        </w:rPr>
        <w:t xml:space="preserve">11 – </w:t>
      </w:r>
      <w:r w:rsidRPr="00920D31">
        <w:rPr>
          <w:rStyle w:val="Hyperlink"/>
          <w:sz w:val="32"/>
          <w:szCs w:val="32"/>
          <w:rtl/>
        </w:rPr>
        <w:t>إن الدعوى السابقة المقدمة على اساس المطالبة بالتعويض نتيجة الأضرار الناشئة عن إنهاء وكالة بيع منتجات خاصة بتصوير المستندات تختلف عن الدعوى اللاحقة المقدمة على اساس الإثراء بلا سبب واعتبار الدعوى السابقة غير قاطعة لسريان التقادم بالنسبة للدعوى اللاحقة</w:t>
      </w:r>
      <w:r w:rsidRPr="00920D31">
        <w:rPr>
          <w:rStyle w:val="Hyperlink"/>
          <w:sz w:val="32"/>
          <w:szCs w:val="32"/>
        </w:rPr>
        <w:t>.</w:t>
      </w:r>
      <w:r w:rsidRPr="00920D31">
        <w:rPr>
          <w:sz w:val="32"/>
          <w:szCs w:val="32"/>
        </w:rPr>
        <w:fldChar w:fldCharType="end"/>
      </w:r>
      <w:r w:rsidRPr="00920D31">
        <w:rPr>
          <w:sz w:val="32"/>
          <w:szCs w:val="32"/>
        </w:rPr>
        <w:br/>
      </w:r>
      <w:r w:rsidRPr="00920D31">
        <w:rPr>
          <w:sz w:val="32"/>
          <w:szCs w:val="32"/>
        </w:rPr>
        <w:br/>
      </w:r>
      <w:r w:rsidRPr="00920D31">
        <w:rPr>
          <w:sz w:val="32"/>
          <w:szCs w:val="32"/>
          <w:u w:val="single"/>
          <w:rtl/>
        </w:rPr>
        <w:t>ملاحظة</w:t>
      </w:r>
      <w:r w:rsidRPr="00920D31">
        <w:rPr>
          <w:sz w:val="32"/>
          <w:szCs w:val="32"/>
          <w:u w:val="single"/>
        </w:rPr>
        <w:t xml:space="preserve"> :</w:t>
      </w:r>
      <w:r w:rsidRPr="00920D31">
        <w:rPr>
          <w:sz w:val="32"/>
          <w:szCs w:val="32"/>
        </w:rPr>
        <w:br/>
      </w:r>
      <w:r w:rsidRPr="00920D31">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920D31" w:rsidRPr="00920D31" w:rsidRDefault="00920D31" w:rsidP="00920D31">
      <w:pPr>
        <w:rPr>
          <w:sz w:val="32"/>
          <w:szCs w:val="32"/>
        </w:rPr>
      </w:pPr>
      <w:bookmarkStart w:id="14" w:name="Anchor182"/>
      <w:bookmarkEnd w:id="14"/>
      <w:r w:rsidRPr="00920D31">
        <w:rPr>
          <w:sz w:val="32"/>
          <w:szCs w:val="32"/>
          <w:rtl/>
        </w:rPr>
        <w:t>المحكمـــة</w:t>
      </w:r>
    </w:p>
    <w:p w:rsidR="00920D31" w:rsidRPr="00920D31" w:rsidRDefault="00920D31" w:rsidP="00920D31">
      <w:pPr>
        <w:rPr>
          <w:sz w:val="32"/>
          <w:szCs w:val="32"/>
        </w:rPr>
      </w:pPr>
      <w:bookmarkStart w:id="15" w:name="Anchor183"/>
      <w:bookmarkEnd w:id="15"/>
      <w:r w:rsidRPr="00920D31">
        <w:rPr>
          <w:sz w:val="32"/>
          <w:szCs w:val="32"/>
          <w:rtl/>
        </w:rPr>
        <w:t>بعد الإطلاع على الأوراق وضم الطعنين وسماع المرافعة والمداولة</w:t>
      </w:r>
      <w:r w:rsidRPr="00920D31">
        <w:rPr>
          <w:sz w:val="32"/>
          <w:szCs w:val="32"/>
        </w:rPr>
        <w:t xml:space="preserve">. </w:t>
      </w:r>
    </w:p>
    <w:p w:rsidR="00920D31" w:rsidRPr="00920D31" w:rsidRDefault="00920D31" w:rsidP="00920D31">
      <w:pPr>
        <w:rPr>
          <w:sz w:val="32"/>
          <w:szCs w:val="32"/>
        </w:rPr>
      </w:pPr>
      <w:bookmarkStart w:id="16" w:name="Anchor190"/>
      <w:bookmarkEnd w:id="16"/>
      <w:r w:rsidRPr="00920D31">
        <w:rPr>
          <w:sz w:val="32"/>
          <w:szCs w:val="32"/>
          <w:rtl/>
        </w:rPr>
        <w:t>حيث إن الطعنين استوفيا أوضاعهما الشكلية</w:t>
      </w:r>
      <w:r w:rsidRPr="00920D31">
        <w:rPr>
          <w:sz w:val="32"/>
          <w:szCs w:val="32"/>
        </w:rPr>
        <w:t xml:space="preserve">. </w:t>
      </w:r>
    </w:p>
    <w:p w:rsidR="00920D31" w:rsidRPr="00920D31" w:rsidRDefault="00920D31" w:rsidP="00920D31">
      <w:pPr>
        <w:rPr>
          <w:sz w:val="32"/>
          <w:szCs w:val="32"/>
        </w:rPr>
      </w:pPr>
      <w:bookmarkStart w:id="17" w:name="Anchor195"/>
      <w:bookmarkEnd w:id="17"/>
      <w:r w:rsidRPr="00920D31">
        <w:rPr>
          <w:sz w:val="32"/>
          <w:szCs w:val="32"/>
          <w:rtl/>
        </w:rPr>
        <w:t>وحيث إن الوقائع</w:t>
      </w:r>
      <w:r w:rsidRPr="00920D31">
        <w:rPr>
          <w:sz w:val="32"/>
          <w:szCs w:val="32"/>
        </w:rPr>
        <w:t xml:space="preserve">- </w:t>
      </w:r>
      <w:r w:rsidRPr="00920D31">
        <w:rPr>
          <w:sz w:val="32"/>
          <w:szCs w:val="32"/>
          <w:rtl/>
        </w:rPr>
        <w:t>على ما يبين من الحكم المطعون فيه وسائر الأوراق</w:t>
      </w:r>
      <w:r w:rsidRPr="00920D31">
        <w:rPr>
          <w:sz w:val="32"/>
          <w:szCs w:val="32"/>
        </w:rPr>
        <w:t xml:space="preserve">- </w:t>
      </w:r>
      <w:r w:rsidRPr="00920D31">
        <w:rPr>
          <w:sz w:val="32"/>
          <w:szCs w:val="32"/>
          <w:rtl/>
        </w:rPr>
        <w:t xml:space="preserve">تتحصل في أن المعطون ضده الأول بصفته في الطعنين أقام على الشركة الطاعنة الدعوى رقم 5592 لسنة 2009 تجاري بطلب الحكم ووفقاً لطلباته الختامية بإلزامها بأن تؤدي له مبلغ 1108711 دينار والفوائد القانونية من تاريخ المطالبة على سند من القول أنه وفي عام 1976 أبرم مع شركة ميتسوبيشي اليابانية إتفاقية لتوزيع منتجاتها الخاصة بتصوير المستندات بدولة الكويت على أن تحمل هذه المنتجات علامة تجارية بأسم كونيكا وقد بذلت الشركة المطعون ضدها جهوداً ضخمة ومصاريف طائلة للإعلان والترويج للأسم التجاري بالسوق الكويتي بغرض بيعها وصيانتها وهو ما حدا بالشركة الموكلة إلى توكيله في توزيع أجهزة فاكس بذات الأسم وقيدت الوكالة برقم </w:t>
      </w:r>
      <w:r w:rsidRPr="00920D31">
        <w:rPr>
          <w:sz w:val="32"/>
          <w:szCs w:val="32"/>
        </w:rPr>
        <w:t>318</w:t>
      </w:r>
      <w:r w:rsidRPr="00920D31">
        <w:rPr>
          <w:sz w:val="32"/>
          <w:szCs w:val="32"/>
          <w:rtl/>
        </w:rPr>
        <w:t xml:space="preserve">، </w:t>
      </w:r>
      <w:r w:rsidRPr="00920D31">
        <w:rPr>
          <w:sz w:val="32"/>
          <w:szCs w:val="32"/>
        </w:rPr>
        <w:t xml:space="preserve">319 </w:t>
      </w:r>
      <w:r w:rsidRPr="00920D31">
        <w:rPr>
          <w:sz w:val="32"/>
          <w:szCs w:val="32"/>
          <w:rtl/>
        </w:rPr>
        <w:t>لسنة 1990 كما وكلته في توزيع ماكينات تصوير ذات تكنولجيا حديثة قيدت برقم 248 لسنة 1996 وإستمر في بيع هذه المنتجات إلا إنه وبتاريخ 2013/1/8 ورد إليه كتاب من شركة كونيكا اليابانية يفيد إعلان رغبتها في الإندماج بينها وبين شركة مينولتا اليابانية والتي تمثلها الشركة الطاعنة مع التخطيط لتحويل عقود الوكالة المبرمة مع المطعون ضده الأول إلى الشركة الجديدة، وإذ تم الإندماج بين الشركتين وهو ما نتج عنه شركة جديدة بأسم شركة كونيكا ومينولتا والتي خاطبته برغبتها في توحيد موزعها بدولة الكويت وبعد مفاوضات مطولة بينه وبين الشركة الجديدة والشركة الطاعنة تم الإتفاق في الإجتماع الذي تم في دبي بتاريخ 2004/3/14 بينه وبين الشركة الطاعنة على إنفرادها بوكالة الشركة الجديدة</w:t>
      </w:r>
      <w:r w:rsidRPr="00920D31">
        <w:rPr>
          <w:sz w:val="32"/>
          <w:szCs w:val="32"/>
        </w:rPr>
        <w:t xml:space="preserve"> " </w:t>
      </w:r>
      <w:r w:rsidRPr="00920D31">
        <w:rPr>
          <w:sz w:val="32"/>
          <w:szCs w:val="32"/>
          <w:rtl/>
        </w:rPr>
        <w:t xml:space="preserve">كونيكا مينولتا" مع إلتزام الأخيرة بتعويض الشركة المطعون ضدها الأولى من جراء تحويل نشاطها المتمثل في العملاء المستخدمين لعلامة كونيكا وأن يتم حساب نقاط التقييم لعمل المطعون ضدها ومركزها المالي وأن بعين كل طرف منهما مدقق حسابات لتقييم ما حققته في نشاط وكالة كونيكا وإذ عين كل منهما مدقق حسابات وإذ قدر مدقق الحسابات المعين من قبل الشركة المطعون ضدها نشاطها بواقع </w:t>
      </w:r>
      <w:r w:rsidRPr="00920D31">
        <w:rPr>
          <w:sz w:val="32"/>
          <w:szCs w:val="32"/>
        </w:rPr>
        <w:t xml:space="preserve">920570.90 </w:t>
      </w:r>
      <w:r w:rsidRPr="00920D31">
        <w:rPr>
          <w:sz w:val="32"/>
          <w:szCs w:val="32"/>
          <w:rtl/>
        </w:rPr>
        <w:t xml:space="preserve">دينار في حين قدر المدقق المعين من قبلها تلك القيمة بواقع </w:t>
      </w:r>
      <w:r w:rsidRPr="00920D31">
        <w:rPr>
          <w:sz w:val="32"/>
          <w:szCs w:val="32"/>
        </w:rPr>
        <w:t xml:space="preserve">1636441 </w:t>
      </w:r>
      <w:r w:rsidRPr="00920D31">
        <w:rPr>
          <w:sz w:val="32"/>
          <w:szCs w:val="32"/>
          <w:rtl/>
        </w:rPr>
        <w:t>دينار وقد أرجع الإختلاف بين المدققين لعيوب فنية وأخطاء حسابية من قبل الشركة الطاعنة ومن ثم فقد أقامت الدعوى بطلباتها سالفة البيان</w:t>
      </w:r>
      <w:r w:rsidRPr="00920D31">
        <w:rPr>
          <w:sz w:val="32"/>
          <w:szCs w:val="32"/>
        </w:rPr>
        <w:t xml:space="preserve">. </w:t>
      </w:r>
      <w:r w:rsidRPr="00920D31">
        <w:rPr>
          <w:sz w:val="32"/>
          <w:szCs w:val="32"/>
          <w:rtl/>
        </w:rPr>
        <w:t xml:space="preserve">تداولت الدعوى أمام محكمة أول درجة وبتاريخ </w:t>
      </w:r>
      <w:r w:rsidRPr="00920D31">
        <w:rPr>
          <w:sz w:val="32"/>
          <w:szCs w:val="32"/>
        </w:rPr>
        <w:t xml:space="preserve">2010/2/9 </w:t>
      </w:r>
      <w:r w:rsidRPr="00920D31">
        <w:rPr>
          <w:sz w:val="32"/>
          <w:szCs w:val="32"/>
          <w:rtl/>
        </w:rPr>
        <w:t>حكمت برفض الدفوع التي أبدتها الطاعنة والخاصة بعدم إختصاص محكمة أول درجة بنظر النزاع لوجود شرط التحكيم في عقد الاتفاقية المبرمة بين المطعون ضدها وبين الموكلة لها وبين شركة كونيكا وبعدم جواز نظر الدعوى لسابقة الفصل فيها بالدعوى رقم 2715لسنة2005 تجاري واستئنافها رقم 674 لسنة 2007 تجاري وبسقوط حقها في إقامة الدعوى بمضي المدة وقبل الفصل في الموضوع بندب لجنة من الخبراء لبحث المأمورية المبينة بمنطوق ذلك الحكم. باشرت اللجنة مهمتها وأودعت تقريرها ثم قامت الطاعنة بإدخال الشركة الجديدة كونيكا ومينولنا بصفتها خصماً في الدعوى وبتاريخ حكمت محكمة أول درجة بقبول إدخال شركة كونيكا مينولتا خصماً في الدعوى وفي موضوع التدخل برفضه وبرفض الدفع بعدم قبول الدعوى لرفعها على غير ذي صفة وفي موضوع الدعوى الأصلية بإلزام الطاعنة بأن تؤدي للشركة المطعون ضدها مبلغ 1108711 دينار والفوائد القانونية بواقع 7</w:t>
      </w:r>
      <w:r w:rsidRPr="00920D31">
        <w:rPr>
          <w:sz w:val="32"/>
          <w:szCs w:val="32"/>
        </w:rPr>
        <w:t xml:space="preserve">% </w:t>
      </w:r>
      <w:r w:rsidRPr="00920D31">
        <w:rPr>
          <w:sz w:val="32"/>
          <w:szCs w:val="32"/>
          <w:rtl/>
        </w:rPr>
        <w:t>سنوياً من 2005/1/1 وحتى تمام السداد</w:t>
      </w:r>
      <w:r w:rsidRPr="00920D31">
        <w:rPr>
          <w:sz w:val="32"/>
          <w:szCs w:val="32"/>
        </w:rPr>
        <w:t xml:space="preserve">. </w:t>
      </w:r>
      <w:r w:rsidRPr="00920D31">
        <w:rPr>
          <w:sz w:val="32"/>
          <w:szCs w:val="32"/>
          <w:rtl/>
        </w:rPr>
        <w:t>استأنفت الشركة الطاعنة هذا الحكم بالاستئناف رقم 544 لسنة 2012 تجاري كما استأنفته المطعون ضدها بالاستئناف رقم 568 لسنة 2012 تجاري، وبعد أن ضمت المحكمة الاستئناف الأول للثاني للإرتباط قضت بتاريخ 2013/2/27 في موضوع الاستئناف الأصلي برفضه وبتأييد الحكم المستأنف وفي الثاني بتعديل الحكم المستأنف في خصوص ما قضي به من مقابل أتعاب محاماة بجعله مبلغ 500 دينار. طعنت الطاعنة في هذا الحكم بطريق التمييز بالطعنين رقمي 605، 636 لسنة 2012 تجاري، وقدمت النيابة فيهما مذكرة أبدت فيها الرأي بتمييز الحكم المطعون فيه</w:t>
      </w:r>
      <w:r w:rsidRPr="00920D31">
        <w:rPr>
          <w:sz w:val="32"/>
          <w:szCs w:val="32"/>
        </w:rPr>
        <w:t xml:space="preserve">- </w:t>
      </w:r>
      <w:r w:rsidRPr="00920D31">
        <w:rPr>
          <w:sz w:val="32"/>
          <w:szCs w:val="32"/>
          <w:rtl/>
        </w:rPr>
        <w:t>عُرض الطعنين على هذه المحكمة في غرفة المشورة فحددت جلسة لنظرهما وفيها إلتزمت النيابة رأيها</w:t>
      </w:r>
      <w:r w:rsidRPr="00920D31">
        <w:rPr>
          <w:sz w:val="32"/>
          <w:szCs w:val="32"/>
        </w:rPr>
        <w:t xml:space="preserve">. </w:t>
      </w:r>
    </w:p>
    <w:p w:rsidR="00920D31" w:rsidRPr="00920D31" w:rsidRDefault="00920D31" w:rsidP="00920D31">
      <w:pPr>
        <w:rPr>
          <w:sz w:val="32"/>
          <w:szCs w:val="32"/>
        </w:rPr>
      </w:pPr>
      <w:bookmarkStart w:id="18" w:name="Anchor507"/>
      <w:bookmarkEnd w:id="18"/>
      <w:r w:rsidRPr="00920D31">
        <w:rPr>
          <w:sz w:val="32"/>
          <w:szCs w:val="32"/>
          <w:rtl/>
        </w:rPr>
        <w:t>وحيث إن مما تنعاه الطاعنة في الطعنين على الحكم المطعون فيه مخالفة القانون والخطأ في تطبيقه والقصور في التسبيب، وفي بيان ذلك تقول إنها تمسكت في دفاعها أمام محكمة الموضوع بدرجتيها بسقوط حق المطعون ضدها في إقامة الدعوى بالتقادم الثلاثي المنصوص عليه في المادة 283 من قانون التجارة بإعتبار إن الدعوى الماثلة هى دعوى تعويض ناشئة عن عقد وكالة العقود كما أنها دفعت أيضاً بسقوط حق المطعون ضدها في إقامة الدعوى بالتقادم الثلاثي المنصوص عليه في المادة 263 من القانون المدني تأسيساً على أن المطعون ضدها قد استندت في دعواها على قاعدة الإثراء بلا سبب والتي إتخذها الحكم المطعون فيه سنداً لقضاءه وأنها أقرت في صحيفة دعواها بأنها علمت بالضرر في أواخر عام 2005 ولم تقم الدعوى إلا بتاريخ 2009/9/3 أي بعد مرور ثلاث سنوات من تاريخ علمها بالضرر وبالتالي فإن الدعوى تكون قد سقطت بالتقادم الثلاثي بنوعيه غير أن الحكم المطعون فيه والمؤيد للحكم المستأنف إنتهى إلى رفض الدفع الأول بمقولة أن الدعوى ناشئة عن علاقة تجارية تنافسية وتخضع للتقادم العشري المنصوص عليه في المادة 118 من قانون التجارة على الرغم من عدم وجود عقد ينظم العلاقة بينهما وخلو الأوراق من أي تعاملات أو إلتزامات بينهما فضلاً عن خلو الأوراق أيضاً من أي التزام أو تعهد أو إتفاق على إلتزام الشركة الطاعنة بتعويض المطعون ضدها فضلاً عن أن الحكم المطعون فيه التفت عن الرد على الدفع الخامس بسقوط حق المطعون ضدها في إقامة الدعوى بالتقادم الثلاثي الخاص بدعوى الإثراء بلا سبب ومن ثم فإنه يكون معيباً بما يوجب تمييزه</w:t>
      </w:r>
      <w:r w:rsidRPr="00920D31">
        <w:rPr>
          <w:sz w:val="32"/>
          <w:szCs w:val="32"/>
        </w:rPr>
        <w:t xml:space="preserve">. </w:t>
      </w:r>
    </w:p>
    <w:p w:rsidR="00920D31" w:rsidRPr="00920D31" w:rsidRDefault="00920D31" w:rsidP="00920D31">
      <w:pPr>
        <w:rPr>
          <w:sz w:val="32"/>
          <w:szCs w:val="32"/>
        </w:rPr>
      </w:pPr>
      <w:bookmarkStart w:id="19" w:name="Anchor636"/>
      <w:bookmarkEnd w:id="19"/>
      <w:r w:rsidRPr="00920D31">
        <w:rPr>
          <w:sz w:val="32"/>
          <w:szCs w:val="32"/>
          <w:rtl/>
        </w:rPr>
        <w:t xml:space="preserve">وحيث إن هذا النعي سديد، ذلك أن </w:t>
      </w:r>
      <w:bookmarkStart w:id="20" w:name="TM2014_605_1"/>
      <w:bookmarkEnd w:id="20"/>
      <w:r w:rsidRPr="00920D31">
        <w:rPr>
          <w:b/>
          <w:bCs/>
          <w:sz w:val="32"/>
          <w:szCs w:val="32"/>
          <w:rtl/>
        </w:rPr>
        <w:t xml:space="preserve">المقرر </w:t>
      </w:r>
      <w:r w:rsidRPr="00920D31">
        <w:rPr>
          <w:b/>
          <w:bCs/>
          <w:sz w:val="32"/>
          <w:szCs w:val="32"/>
        </w:rPr>
        <w:t xml:space="preserve">– </w:t>
      </w:r>
      <w:r w:rsidRPr="00920D31">
        <w:rPr>
          <w:b/>
          <w:bCs/>
          <w:sz w:val="32"/>
          <w:szCs w:val="32"/>
          <w:rtl/>
        </w:rPr>
        <w:t>في قضاء هذه المحكمة- أن المطالبة القضائية هي إجراء يوجه إلى المحكمة في مواجهة المدعي عليه ويتحدد به نطاق الدعوى وتدور الخصومة حوله وهذا التحديد يلزم الخصوم والقاضي</w:t>
      </w:r>
      <w:r w:rsidRPr="00920D31">
        <w:rPr>
          <w:sz w:val="32"/>
          <w:szCs w:val="32"/>
          <w:rtl/>
        </w:rPr>
        <w:t xml:space="preserve"> وأنه </w:t>
      </w:r>
      <w:bookmarkStart w:id="21" w:name="TM2014_605_2"/>
      <w:bookmarkEnd w:id="21"/>
      <w:r w:rsidRPr="00920D31">
        <w:rPr>
          <w:b/>
          <w:bCs/>
          <w:sz w:val="32"/>
          <w:szCs w:val="32"/>
          <w:rtl/>
        </w:rPr>
        <w:t>ولئن كان لمحكمة الموضوع سلطة تكييف الدعوى وإعطائها وصفها القانوني الصحيح إلا أنها لا تملك من تلقاء نفسها تغيير سبب الدعوى وحقيقة طلبات الخصوم فيها ويتعين عليها أن يكون تكييفها القانوني الذي إنتهت إليه مرده هذا السبب وتلك الطلبات وهو ما لازمه أنه يجب على القاضي أن يتقيد بالسبب الذي أقيمت عليه الدعوى ولا يغيره وأن يقصر بحثه عليه بإعتبار أن سبب الدعوى هو الأساس القانوني للحق المدعي به والذي يبني عليه أي منشأ للإلتزام سواء كان عقد أو إرادة منفرده أو عملاً غير مشروع أو إثراء بلا سبب أو نص في القانون وسواء كان تصرفاً قانونياً أو واقعة مادية وهو لا يقصد به الأدلة أي الوسائل التي تؤيد سبب الدعوى أو تثبته فهو للا يتغير بتغير الأدلة الواقعية والحجج التي يستند إليها الخصوم في دفاعهم</w:t>
      </w:r>
      <w:r w:rsidRPr="00920D31">
        <w:rPr>
          <w:b/>
          <w:bCs/>
          <w:sz w:val="32"/>
          <w:szCs w:val="32"/>
        </w:rPr>
        <w:t>.</w:t>
      </w:r>
      <w:r w:rsidRPr="00920D31">
        <w:rPr>
          <w:sz w:val="32"/>
          <w:szCs w:val="32"/>
        </w:rPr>
        <w:t xml:space="preserve"> </w:t>
      </w:r>
      <w:r w:rsidRPr="00920D31">
        <w:rPr>
          <w:sz w:val="32"/>
          <w:szCs w:val="32"/>
          <w:rtl/>
        </w:rPr>
        <w:t xml:space="preserve">كما أنه </w:t>
      </w:r>
      <w:bookmarkStart w:id="22" w:name="TM2014_605_3"/>
      <w:bookmarkEnd w:id="22"/>
      <w:r w:rsidRPr="00920D31">
        <w:rPr>
          <w:b/>
          <w:bCs/>
          <w:sz w:val="32"/>
          <w:szCs w:val="32"/>
          <w:rtl/>
        </w:rPr>
        <w:t xml:space="preserve">من المقرر أنه متى أقيمت الدعوى على قواعد الإثراء بلا سبب والتي إتخذت منه محكمة الموضوع سنداً لقضائها فإنه يتعين عليها إخضاع الدعوى للأحكام العامة للإثراء ومنها الحكم الخاص بالتقادم </w:t>
      </w:r>
      <w:r w:rsidRPr="00920D31">
        <w:rPr>
          <w:sz w:val="32"/>
          <w:szCs w:val="32"/>
          <w:rtl/>
        </w:rPr>
        <w:t xml:space="preserve">كما أنه </w:t>
      </w:r>
      <w:bookmarkStart w:id="23" w:name="TM2014_605_4"/>
      <w:bookmarkEnd w:id="23"/>
      <w:r w:rsidRPr="00920D31">
        <w:rPr>
          <w:b/>
          <w:bCs/>
          <w:sz w:val="32"/>
          <w:szCs w:val="32"/>
          <w:rtl/>
        </w:rPr>
        <w:t>يجب عليها أن تجيب في حكمها على كل دفع أو دفاع يدلي به لديها متى كان هذا الدفاع جوهرياً ومما يجوز أن يترتب عليه تغيير وجه الرأي في الدعوى</w:t>
      </w:r>
      <w:r w:rsidRPr="00920D31">
        <w:rPr>
          <w:b/>
          <w:bCs/>
          <w:sz w:val="32"/>
          <w:szCs w:val="32"/>
        </w:rPr>
        <w:t>.</w:t>
      </w:r>
    </w:p>
    <w:p w:rsidR="00920D31" w:rsidRPr="00920D31" w:rsidRDefault="00920D31" w:rsidP="00920D31">
      <w:pPr>
        <w:rPr>
          <w:sz w:val="32"/>
          <w:szCs w:val="32"/>
        </w:rPr>
      </w:pPr>
      <w:bookmarkStart w:id="24" w:name="Anchor755"/>
      <w:bookmarkStart w:id="25" w:name="TM2014_605_5"/>
      <w:bookmarkEnd w:id="24"/>
      <w:bookmarkEnd w:id="25"/>
      <w:r w:rsidRPr="00920D31">
        <w:rPr>
          <w:b/>
          <w:bCs/>
          <w:sz w:val="32"/>
          <w:szCs w:val="32"/>
          <w:rtl/>
        </w:rPr>
        <w:t>وكان مفاد نص الفقرة الأولى من المادة 118 من قانون التجارة على أن التقادم المنصوص عليه في هذه المادة إنما يتعلق بالتزامات التجار قبل بعضهم البعض والناشئة عن أعمالهم التجارية ويبدأ سريان هذا التقادم من اليوم الذي يصبح فيه الدين مستحق الأداء</w:t>
      </w:r>
      <w:r w:rsidRPr="00920D31">
        <w:rPr>
          <w:b/>
          <w:bCs/>
          <w:sz w:val="32"/>
          <w:szCs w:val="32"/>
        </w:rPr>
        <w:t>.</w:t>
      </w:r>
      <w:r w:rsidRPr="00920D31">
        <w:rPr>
          <w:sz w:val="32"/>
          <w:szCs w:val="32"/>
        </w:rPr>
        <w:t xml:space="preserve"> </w:t>
      </w:r>
      <w:r w:rsidRPr="00920D31">
        <w:rPr>
          <w:sz w:val="32"/>
          <w:szCs w:val="32"/>
          <w:rtl/>
        </w:rPr>
        <w:t xml:space="preserve">لما كان ذلك، </w:t>
      </w:r>
      <w:bookmarkStart w:id="26" w:name="TM2014_605_6"/>
      <w:bookmarkEnd w:id="26"/>
      <w:r w:rsidRPr="00920D31">
        <w:rPr>
          <w:b/>
          <w:bCs/>
          <w:sz w:val="32"/>
          <w:szCs w:val="32"/>
          <w:rtl/>
        </w:rPr>
        <w:t xml:space="preserve">وكان الثابت من الأوراق وبما لا يماري فيه طرفي التداعي أن حقيقة الواقع في الدعوى ومن السبب الذي أسست عليه المطعون ضدها طلباتها عليه والذي اتخذت منه محكمة الموضوع سنداً لقضائها أن الحق المطالب به هو التعويض الناشئ عن إثراء الطاعنة بعد إنفرادها بأعمال الوكالة من قبل الشركة الجديدة كونيكا ومينولنا اليابانية واستفادتها من النشاط الذي بذلته طوال الفترة التي كانت تعمل فيها وكيله عن شركة كونيكا قبل إندماجها في الشركة الجديدة والذي تم الإتفاق عليه في الاجتماع الحاصل في دبي بتاريخ 2004/3/14 على تعويض المطعون ضدها وبالتالي فإن الدعوى بذلك يكون سببها الإثراء بلا سبب وأن الاجتماع الحاصل بينهما سالف البيان لا يعدو أن يكون دليلاً على الإتفاق على هذا التعويض ومن ثم فإن الدعوى بهذه المثابة لا يصدق عليها وصف المنازعة المتعلقة بالتزامات التجار بإعتبار أن الاتفاق على التعويض عن إنفراد الطاعنة بالوكالة تنفيذاً لرغبة الشركة الموكلة </w:t>
      </w:r>
      <w:r w:rsidRPr="00920D31">
        <w:rPr>
          <w:b/>
          <w:bCs/>
          <w:sz w:val="32"/>
          <w:szCs w:val="32"/>
        </w:rPr>
        <w:t xml:space="preserve">– </w:t>
      </w:r>
      <w:r w:rsidRPr="00920D31">
        <w:rPr>
          <w:b/>
          <w:bCs/>
          <w:sz w:val="32"/>
          <w:szCs w:val="32"/>
          <w:rtl/>
        </w:rPr>
        <w:t>وأياً كان وجه الرأي فيه- لا يعد من قبيل إلتزامات التجار التي تخضع للتقادم العشري. وإذ خالف الحكم المطعون فيه هذا النظر وشيد قضاءه برفض الدفع المبدي من الطاعنة بسقوط حق الطاعنة بالتقادم الثلاثي المنصوص عليه في المادة 283 من قانون التجارة بمقولة أن العلاقة بين الطاعنة والمطعون ضدها علاقة تنافسية تجارية ويسري عليها التقادم العشري المنصوص عليه في المادة 118 من قانون التجارة مغيراً بذلك سبب الدعوى الذي أسست عليه المطعون ضدها طلباتها من تلقاء نفسه وهو ما ليس متاحاً له الأمر الذي حجبه عن الرد على الدفع المبدي من الطاعنة بسقوط الدعوى بالتقادم الثلاثي المنصوص عليه في المادة 262 من القانون المدني الخاص بدعاوي الإثراء بلا سبب فإنه وفضلاً عن خطئه في تطبيق القانون يكون معيباً بالقصور في التسبيب والإخلال بحق الدفاع بما يوجب تمييزه لهذا السبب دون حاجة لبحث باقي أوجه الطعنين</w:t>
      </w:r>
      <w:r w:rsidRPr="00920D31">
        <w:rPr>
          <w:b/>
          <w:bCs/>
          <w:sz w:val="32"/>
          <w:szCs w:val="32"/>
        </w:rPr>
        <w:t xml:space="preserve">. </w:t>
      </w:r>
    </w:p>
    <w:p w:rsidR="00920D31" w:rsidRPr="00920D31" w:rsidRDefault="00920D31" w:rsidP="00920D31">
      <w:pPr>
        <w:rPr>
          <w:sz w:val="32"/>
          <w:szCs w:val="32"/>
        </w:rPr>
      </w:pPr>
      <w:bookmarkStart w:id="27" w:name="Anchor930"/>
      <w:bookmarkEnd w:id="27"/>
      <w:r w:rsidRPr="00920D31">
        <w:rPr>
          <w:sz w:val="32"/>
          <w:szCs w:val="32"/>
          <w:rtl/>
        </w:rPr>
        <w:t xml:space="preserve">وحيث إنه عن موضوع الإستئناف رقم 544 لسنة 2012 تجاري وبشأن الدفع المبدي من المستأنفة في هذا الاستئناف بسقوط حق المطعون ضدها في إقامة الدعوى بالتقادم الثلاثي المنصوص عليه في المادة 263 من القانون المدني فإنه </w:t>
      </w:r>
      <w:bookmarkStart w:id="28" w:name="TM2014_605_7"/>
      <w:bookmarkEnd w:id="28"/>
      <w:r w:rsidRPr="00920D31">
        <w:rPr>
          <w:b/>
          <w:bCs/>
          <w:sz w:val="32"/>
          <w:szCs w:val="32"/>
          <w:rtl/>
        </w:rPr>
        <w:t>من المقرر أن مفاد نص المادتين 262، 263 من القانون المدني أن كل من يثري على حساب غيره بدون سبباً مشروع يلتزم بأن يؤدي له وفي حدود ما أثره به ما يدفع الخسارة عنه</w:t>
      </w:r>
      <w:r w:rsidRPr="00920D31">
        <w:rPr>
          <w:sz w:val="32"/>
          <w:szCs w:val="32"/>
          <w:rtl/>
        </w:rPr>
        <w:t xml:space="preserve"> </w:t>
      </w:r>
    </w:p>
    <w:p w:rsidR="00920D31" w:rsidRPr="00920D31" w:rsidRDefault="00920D31" w:rsidP="00920D31">
      <w:pPr>
        <w:rPr>
          <w:sz w:val="32"/>
          <w:szCs w:val="32"/>
        </w:rPr>
      </w:pPr>
      <w:bookmarkStart w:id="29" w:name="Anchor965"/>
      <w:bookmarkStart w:id="30" w:name="TM2014_605_8"/>
      <w:bookmarkEnd w:id="29"/>
      <w:bookmarkEnd w:id="30"/>
      <w:r w:rsidRPr="00920D31">
        <w:rPr>
          <w:b/>
          <w:bCs/>
          <w:sz w:val="32"/>
          <w:szCs w:val="32"/>
          <w:rtl/>
        </w:rPr>
        <w:t>وتسقط دعوى الإثراء بلا سبب بمضي ثلاث سنوات من اليوم الذي يعلم فيه من لحقه الضرر بحقه في التعويض أو بإنقضاء خمس عشرة سنة من اليوم الذي ينشأ فيه هذا الحق والعبرة في بدء سريان تقادم هذه الدعوى هو بعلم من لحقه الضرر علماً حقيقياً وبالشخص المسئول عنه</w:t>
      </w:r>
      <w:r w:rsidRPr="00920D31">
        <w:rPr>
          <w:b/>
          <w:bCs/>
          <w:sz w:val="32"/>
          <w:szCs w:val="32"/>
        </w:rPr>
        <w:t>.</w:t>
      </w:r>
      <w:r w:rsidRPr="00920D31">
        <w:rPr>
          <w:sz w:val="32"/>
          <w:szCs w:val="32"/>
        </w:rPr>
        <w:t xml:space="preserve"> </w:t>
      </w:r>
    </w:p>
    <w:p w:rsidR="00920D31" w:rsidRPr="00920D31" w:rsidRDefault="00920D31" w:rsidP="00920D31">
      <w:pPr>
        <w:rPr>
          <w:sz w:val="32"/>
          <w:szCs w:val="32"/>
        </w:rPr>
      </w:pPr>
      <w:bookmarkStart w:id="31" w:name="Anchor989"/>
      <w:bookmarkStart w:id="32" w:name="TM2014_605_9"/>
      <w:bookmarkEnd w:id="31"/>
      <w:bookmarkEnd w:id="32"/>
      <w:r w:rsidRPr="00920D31">
        <w:rPr>
          <w:b/>
          <w:bCs/>
          <w:sz w:val="32"/>
          <w:szCs w:val="32"/>
          <w:rtl/>
        </w:rPr>
        <w:t>وأنه حسب محكمة الموضوع أن يدفع أمامها بالتقادم حتي يتعين عليها أن تبحث شرائطه ومنها المدة وما يعترضها من وقف أو إنقطاع</w:t>
      </w:r>
      <w:r w:rsidRPr="00920D31">
        <w:rPr>
          <w:sz w:val="32"/>
          <w:szCs w:val="32"/>
          <w:rtl/>
        </w:rPr>
        <w:t xml:space="preserve"> </w:t>
      </w:r>
    </w:p>
    <w:p w:rsidR="00920D31" w:rsidRPr="00920D31" w:rsidRDefault="00920D31" w:rsidP="00920D31">
      <w:pPr>
        <w:rPr>
          <w:sz w:val="32"/>
          <w:szCs w:val="32"/>
        </w:rPr>
      </w:pPr>
      <w:bookmarkStart w:id="33" w:name="Anchor1002"/>
      <w:bookmarkStart w:id="34" w:name="TM2014_605_10"/>
      <w:bookmarkEnd w:id="33"/>
      <w:bookmarkEnd w:id="34"/>
      <w:r w:rsidRPr="00920D31">
        <w:rPr>
          <w:b/>
          <w:bCs/>
          <w:sz w:val="32"/>
          <w:szCs w:val="32"/>
          <w:rtl/>
        </w:rPr>
        <w:t>وإذ كانت المدة المقررة لعدم سماع الدعوى بالتقادم تنقطع ووفقاً للمادة 499من القانون المدني بإقرار المدين بحق دائنة بأي تعبير عن الإرادة ملزم له كما أنه ينقطع بالمطالبة القضائية التي يتوافر فيها معنى الطلب الجازم بالحق الذي يراد اقتضاءه ومن ثم فإن صحيفة الدعوى المرفوعة بحق ما لا تقطع التقادم إلا في خصوص هذا الحق وما لحق به من توابعه مما يجب بوجوبه ويسقط بسقوطه فإن تغاير الحقين أو تغاير مصدرهما فالطلب الحاصل بأحدهما لا يكون قاطعاً للتقادم بالنسبة للأخر</w:t>
      </w:r>
      <w:r w:rsidRPr="00920D31">
        <w:rPr>
          <w:b/>
          <w:bCs/>
          <w:sz w:val="32"/>
          <w:szCs w:val="32"/>
        </w:rPr>
        <w:t>.</w:t>
      </w:r>
      <w:r w:rsidRPr="00920D31">
        <w:rPr>
          <w:sz w:val="32"/>
          <w:szCs w:val="32"/>
        </w:rPr>
        <w:t xml:space="preserve"> </w:t>
      </w:r>
      <w:r w:rsidRPr="00920D31">
        <w:rPr>
          <w:sz w:val="32"/>
          <w:szCs w:val="32"/>
          <w:rtl/>
        </w:rPr>
        <w:t xml:space="preserve">لما كان ذلك، </w:t>
      </w:r>
      <w:bookmarkStart w:id="35" w:name="TM2014_605_11"/>
      <w:bookmarkEnd w:id="35"/>
      <w:r w:rsidRPr="00920D31">
        <w:rPr>
          <w:b/>
          <w:bCs/>
          <w:sz w:val="32"/>
          <w:szCs w:val="32"/>
          <w:rtl/>
        </w:rPr>
        <w:t xml:space="preserve">وكان الثابت من الأوراق وعلى ما سطرته المطعون ضدها بصحيفة دعواها أمام محكمة أول درجة أنها كانت وكيلة لشركة ميتسوبيشي اليابانية لتوزيع منتجاتها والتي تحمل أسم كونيكا منذ عام 1976 داخل دولة الكويت واستمرت في مباشرة هذا النشاط إلى أن ورد إليها بتاريخ 2013/1/8 كتاباً من الشركة الموكلة تخطرها فيه بعزمها في الإندماج مع شركة مينولنا والتي تعمل الطاعنة كوكيلة لتوزيع منتجاتها داخل الكويت وبرغبة موكلتها في توحيد موزعها عن طريق إندماج الموزعين أو بتولي أحد الطرفين أعمال الوكالة عن الشركة الجديدة كونيكا مينولتا وأنه وبتاريخ 2004/3/14 تم عقد إجتماع بين الطاعنة والمطعون ضدها في دولة دبي تم الاتفاق فيه بينهما على إنفراد الشركة الأخيرة بأعمال الوكالة عن الشركة الجديدة مقابل إلتزامها بتعويض الطاعنة عن نشاطها التمثل في العملاء المستخدمين لعلامة كونيكا وحساب نقاط التقييم والسمعة التي حققتها وأن يعين كل منهما مدقق حسابي لتقييم هذه الأعمال وأن الشركة الطاعنة قد أخطرتها كتابة بتاريخ </w:t>
      </w:r>
      <w:r w:rsidRPr="00920D31">
        <w:rPr>
          <w:b/>
          <w:bCs/>
          <w:sz w:val="32"/>
          <w:szCs w:val="32"/>
        </w:rPr>
        <w:t xml:space="preserve">2004/8/24 </w:t>
      </w:r>
      <w:r w:rsidRPr="00920D31">
        <w:rPr>
          <w:b/>
          <w:bCs/>
          <w:sz w:val="32"/>
          <w:szCs w:val="32"/>
          <w:rtl/>
        </w:rPr>
        <w:t xml:space="preserve">بتعيين شركة أرنست انديونج الاستشارية كمدقق حسابي من طرفها لتقييم النشاط ومن ثم فإنه مؤدي ما تقدم أن المطعون ضدها قد علمت بالضرر الذي أصابها وبالشخص المسئول عنه بتاريخ 2004/3/14 وهو التاريخ الذي اتفقت فيه الطاعنة معها على تعويضها عن هذا الضرر بالإجتماع الحاصل في دولة دبي وأن هذا التاريخ هو الذي يبدأ منه سريان التقادم المنصوص عليه في المادة 263 من القانون المدني باعتبار أن الشركة المطعون ضدها قد أقامت دعواها استناداً إلى قواعد الإثراء بلا سبب والتي أودعت صحيفتها قلم كتاب محكمة أول درجة بتاريخ 2009/9/3 وبالتالي فإن مدة التقادم الثلاثي تكون قد اكتملت قبل تاريخ رفع الدعوى الراهنة ولا ينال من ذلك ما تمسكت به المطعون ضدها في مذكرة دفاعها المقدمة أمام محكمة أول درجة بجلسة 2010/1/26 بإنقطاع مدة التقادم بالحكم الصادر في رقم </w:t>
      </w:r>
      <w:r w:rsidRPr="00920D31">
        <w:rPr>
          <w:b/>
          <w:bCs/>
          <w:sz w:val="32"/>
          <w:szCs w:val="32"/>
        </w:rPr>
        <w:t xml:space="preserve">1674 </w:t>
      </w:r>
      <w:r w:rsidRPr="00920D31">
        <w:rPr>
          <w:b/>
          <w:bCs/>
          <w:sz w:val="32"/>
          <w:szCs w:val="32"/>
          <w:rtl/>
        </w:rPr>
        <w:t xml:space="preserve">لسنة 2007 بجلسة </w:t>
      </w:r>
      <w:r w:rsidRPr="00920D31">
        <w:rPr>
          <w:b/>
          <w:bCs/>
          <w:sz w:val="32"/>
          <w:szCs w:val="32"/>
        </w:rPr>
        <w:t xml:space="preserve">2008/6/25 </w:t>
      </w:r>
      <w:r w:rsidRPr="00920D31">
        <w:rPr>
          <w:b/>
          <w:bCs/>
          <w:sz w:val="32"/>
          <w:szCs w:val="32"/>
          <w:rtl/>
        </w:rPr>
        <w:t xml:space="preserve">ذلك أن الثابت من الصورة المقدمة من الحكم الصادر في الدعوى رقم </w:t>
      </w:r>
      <w:r w:rsidRPr="00920D31">
        <w:rPr>
          <w:b/>
          <w:bCs/>
          <w:sz w:val="32"/>
          <w:szCs w:val="32"/>
        </w:rPr>
        <w:t xml:space="preserve">2715 </w:t>
      </w:r>
      <w:r w:rsidRPr="00920D31">
        <w:rPr>
          <w:b/>
          <w:bCs/>
          <w:sz w:val="32"/>
          <w:szCs w:val="32"/>
          <w:rtl/>
        </w:rPr>
        <w:t xml:space="preserve">لسنة 2005 بجلسة </w:t>
      </w:r>
      <w:r w:rsidRPr="00920D31">
        <w:rPr>
          <w:b/>
          <w:bCs/>
          <w:sz w:val="32"/>
          <w:szCs w:val="32"/>
        </w:rPr>
        <w:t xml:space="preserve">2007/4/5 </w:t>
      </w:r>
      <w:r w:rsidRPr="00920D31">
        <w:rPr>
          <w:b/>
          <w:bCs/>
          <w:sz w:val="32"/>
          <w:szCs w:val="32"/>
          <w:rtl/>
        </w:rPr>
        <w:t>والمؤيد بالحكم الصادر في الاستئناف سالف البيان إنها أقيمت من الشركة المطعون ضدها قبل الشركة الطاعنة والشركة المطعون ضدها الثانية وأخرى بطلب الحكم بإلزامهم بالتعويض بالتضامن فيما بينهم عن الأضرار التي لحقت بها من جراء إنهاء وكالتها وتواطئ الشركة المطعون ضدها باعتبارها الوكيل الجديد لشركة كونيكا مينولتا والتي قضي فيها بعدم الإختصاص ولائياً بنظر الدعوى لوجود شرط التحكيم في الاتفاقية سند المطعون ضدها في حين أن الدعوى الراهنة أقيمت قبل الشركة الطاعنة بطلب التعويض استناداً إلى قاعدة الإثراء بلا سبب ومن ثم فإن أساس الحق والأساس الذي أقيمت عليه كل دعوى يكون مختلفاً عن الأخر كما أن الحق المطالب به في هذه الدعوى لا يعد من توابع الحق المطالب به في الدعوى الأولى إذ أنه لا يجب بوجوبه، وبالتالي فإن الدعوى السابقة لا يكون من شأنها قطع سريان التقادم بالنسبة للدعوى الراهنة، وإذ خالف الحكم المستأنف هذا النظر فإنه يكون قد أخطأ في تطبيق القانون بما يتعين معه الحكم بإلغاءه والقضاء مجدداً بقبول الدفع المبدي من المستأنفة بسقوط حق المستأنف ضدها في إقامة الدعوى بالتقادم الثلاثي إعمالاً لنص المادة 263 من القانون المدني</w:t>
      </w:r>
      <w:r w:rsidRPr="00920D31">
        <w:rPr>
          <w:b/>
          <w:bCs/>
          <w:sz w:val="32"/>
          <w:szCs w:val="32"/>
        </w:rPr>
        <w:t xml:space="preserve">. </w:t>
      </w:r>
    </w:p>
    <w:p w:rsidR="00920D31" w:rsidRPr="00920D31" w:rsidRDefault="00920D31" w:rsidP="00920D31">
      <w:pPr>
        <w:rPr>
          <w:sz w:val="32"/>
          <w:szCs w:val="32"/>
        </w:rPr>
      </w:pPr>
      <w:bookmarkStart w:id="36" w:name="Anchor1305"/>
      <w:bookmarkEnd w:id="36"/>
      <w:r w:rsidRPr="00920D31">
        <w:rPr>
          <w:sz w:val="32"/>
          <w:szCs w:val="32"/>
          <w:rtl/>
        </w:rPr>
        <w:t>وحيث إنه عن موضوع الاستئناف رقم 568 لسنة 2012 والمقام من الشركة المطعون ضدها فإنه لما كانت المحكمة قد انتهت في الاستئناف الأول إلى إلغاء الحكم المستأنف والقضاء بسقوط حق المستأنفة ضدها</w:t>
      </w:r>
      <w:r w:rsidRPr="00920D31">
        <w:rPr>
          <w:sz w:val="32"/>
          <w:szCs w:val="32"/>
        </w:rPr>
        <w:t xml:space="preserve"> " </w:t>
      </w:r>
      <w:r w:rsidRPr="00920D31">
        <w:rPr>
          <w:sz w:val="32"/>
          <w:szCs w:val="32"/>
          <w:rtl/>
        </w:rPr>
        <w:t>المستأنفة في هذا الاستئناف" في إقامة الدعوى بالتقادم الثلاثي ومن ثم فإن المحكمة تقضي وتبعاً لذلك برفض هذا الاستئناف</w:t>
      </w:r>
      <w:r w:rsidRPr="00920D31">
        <w:rPr>
          <w:sz w:val="32"/>
          <w:szCs w:val="32"/>
        </w:rPr>
        <w:t xml:space="preserve">. </w:t>
      </w:r>
    </w:p>
    <w:p w:rsidR="00920D31" w:rsidRPr="00920D31" w:rsidRDefault="00920D31" w:rsidP="00920D31">
      <w:pPr>
        <w:rPr>
          <w:sz w:val="32"/>
          <w:szCs w:val="32"/>
        </w:rPr>
      </w:pPr>
      <w:bookmarkStart w:id="37" w:name="Anchor1334"/>
      <w:bookmarkEnd w:id="37"/>
      <w:r w:rsidRPr="00920D31">
        <w:rPr>
          <w:sz w:val="32"/>
          <w:szCs w:val="32"/>
          <w:rtl/>
        </w:rPr>
        <w:t>لـــذلك</w:t>
      </w:r>
    </w:p>
    <w:p w:rsidR="00920D31" w:rsidRPr="00920D31" w:rsidRDefault="00920D31" w:rsidP="00920D31">
      <w:pPr>
        <w:rPr>
          <w:sz w:val="32"/>
          <w:szCs w:val="32"/>
        </w:rPr>
      </w:pPr>
      <w:bookmarkStart w:id="38" w:name="Anchor1335"/>
      <w:bookmarkEnd w:id="38"/>
      <w:r w:rsidRPr="00920D31">
        <w:rPr>
          <w:sz w:val="32"/>
          <w:szCs w:val="32"/>
          <w:rtl/>
        </w:rPr>
        <w:t xml:space="preserve">حكمت المحكمة أولاً:- بقبول الطعنين رقمي </w:t>
      </w:r>
      <w:r w:rsidRPr="00920D31">
        <w:rPr>
          <w:sz w:val="32"/>
          <w:szCs w:val="32"/>
        </w:rPr>
        <w:t>605</w:t>
      </w:r>
      <w:r w:rsidRPr="00920D31">
        <w:rPr>
          <w:sz w:val="32"/>
          <w:szCs w:val="32"/>
          <w:rtl/>
        </w:rPr>
        <w:t xml:space="preserve">، </w:t>
      </w:r>
      <w:r w:rsidRPr="00920D31">
        <w:rPr>
          <w:sz w:val="32"/>
          <w:szCs w:val="32"/>
        </w:rPr>
        <w:t xml:space="preserve">636 </w:t>
      </w:r>
      <w:r w:rsidRPr="00920D31">
        <w:rPr>
          <w:sz w:val="32"/>
          <w:szCs w:val="32"/>
          <w:rtl/>
        </w:rPr>
        <w:t>لسنة 2012 تجاري شكلاً وفي موضوعهما بتمييز الحكم المطعون فيه وألزمت الشركة المطعون ضدها الأولى المصاريف في كل طعن ومبلغ عشرين ديناراً مقابل أتعاب المحاماة</w:t>
      </w:r>
      <w:r w:rsidRPr="00920D31">
        <w:rPr>
          <w:sz w:val="32"/>
          <w:szCs w:val="32"/>
        </w:rPr>
        <w:t xml:space="preserve">. </w:t>
      </w:r>
    </w:p>
    <w:p w:rsidR="00920D31" w:rsidRPr="00920D31" w:rsidRDefault="00920D31" w:rsidP="00920D31">
      <w:pPr>
        <w:rPr>
          <w:sz w:val="32"/>
          <w:szCs w:val="32"/>
        </w:rPr>
      </w:pPr>
      <w:bookmarkStart w:id="39" w:name="Anchor1354"/>
      <w:bookmarkEnd w:id="39"/>
      <w:r w:rsidRPr="00920D31">
        <w:rPr>
          <w:sz w:val="32"/>
          <w:szCs w:val="32"/>
          <w:rtl/>
        </w:rPr>
        <w:t>ثانياً</w:t>
      </w:r>
      <w:r w:rsidRPr="00920D31">
        <w:rPr>
          <w:sz w:val="32"/>
          <w:szCs w:val="32"/>
        </w:rPr>
        <w:t xml:space="preserve">:- </w:t>
      </w:r>
      <w:r w:rsidRPr="00920D31">
        <w:rPr>
          <w:sz w:val="32"/>
          <w:szCs w:val="32"/>
          <w:rtl/>
        </w:rPr>
        <w:t>وفي موضوع الاستئناف رقم 544 لسنة 2012 تجاري بإلغاء الحكم المستأنف وبسقوط حق المستأنف ضدها في إقامة الدعوى بالتقادم الثلاثي</w:t>
      </w:r>
      <w:r w:rsidRPr="00920D31">
        <w:rPr>
          <w:sz w:val="32"/>
          <w:szCs w:val="32"/>
        </w:rPr>
        <w:t>.</w:t>
      </w:r>
    </w:p>
    <w:p w:rsidR="00920D31" w:rsidRPr="00920D31" w:rsidRDefault="00920D31" w:rsidP="00920D31">
      <w:pPr>
        <w:rPr>
          <w:sz w:val="32"/>
          <w:szCs w:val="32"/>
        </w:rPr>
      </w:pPr>
      <w:bookmarkStart w:id="40" w:name="Anchor1367"/>
      <w:bookmarkEnd w:id="40"/>
      <w:r w:rsidRPr="00920D31">
        <w:rPr>
          <w:sz w:val="32"/>
          <w:szCs w:val="32"/>
          <w:rtl/>
        </w:rPr>
        <w:t>ثالثاً</w:t>
      </w:r>
      <w:r w:rsidRPr="00920D31">
        <w:rPr>
          <w:sz w:val="32"/>
          <w:szCs w:val="32"/>
        </w:rPr>
        <w:t xml:space="preserve">:- </w:t>
      </w:r>
      <w:r w:rsidRPr="00920D31">
        <w:rPr>
          <w:sz w:val="32"/>
          <w:szCs w:val="32"/>
          <w:rtl/>
        </w:rPr>
        <w:t>وفي موضوع الاستئناف رقم 568 لسنة 2012 برفضه وألزمت المستأنف في هذا الاستئناف مصروفات الاستئنافين ومقابل أتعاب المحاماة عن درجتي التقاضي</w:t>
      </w:r>
      <w:r w:rsidRPr="00920D31">
        <w:rPr>
          <w:sz w:val="32"/>
          <w:szCs w:val="32"/>
        </w:rPr>
        <w:t xml:space="preserve">. </w:t>
      </w:r>
    </w:p>
    <w:p w:rsidR="00920D31" w:rsidRPr="00920D31" w:rsidRDefault="00920D31" w:rsidP="00920D31">
      <w:pPr>
        <w:rPr>
          <w:sz w:val="32"/>
          <w:szCs w:val="32"/>
        </w:rPr>
      </w:pPr>
    </w:p>
    <w:p w:rsidR="00920D31" w:rsidRPr="00920D31" w:rsidRDefault="00920D31" w:rsidP="00920D31">
      <w:pPr>
        <w:rPr>
          <w:sz w:val="32"/>
          <w:szCs w:val="32"/>
        </w:rPr>
      </w:pPr>
      <w:bookmarkStart w:id="41" w:name="Anchor1381"/>
      <w:bookmarkEnd w:id="41"/>
      <w:r w:rsidRPr="00920D31">
        <w:rPr>
          <w:sz w:val="32"/>
          <w:szCs w:val="32"/>
        </w:rPr>
        <w:t>* * *</w:t>
      </w:r>
    </w:p>
    <w:p w:rsidR="008C2BA0" w:rsidRPr="00920D31" w:rsidRDefault="008C2BA0">
      <w:pPr>
        <w:rPr>
          <w:sz w:val="32"/>
          <w:szCs w:val="32"/>
        </w:rPr>
      </w:pPr>
    </w:p>
    <w:sectPr w:rsidR="008C2BA0" w:rsidRPr="00920D31"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B56"/>
    <w:rsid w:val="0003272B"/>
    <w:rsid w:val="00656B56"/>
    <w:rsid w:val="008C2BA0"/>
    <w:rsid w:val="00920D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920D3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20D31"/>
    <w:rPr>
      <w:color w:val="0000FF"/>
      <w:u w:val="single"/>
    </w:rPr>
  </w:style>
  <w:style w:type="character" w:styleId="FollowedHyperlink">
    <w:name w:val="FollowedHyperlink"/>
    <w:basedOn w:val="DefaultParagraphFont"/>
    <w:uiPriority w:val="99"/>
    <w:semiHidden/>
    <w:unhideWhenUsed/>
    <w:rsid w:val="00920D31"/>
    <w:rPr>
      <w:color w:val="800080"/>
      <w:u w:val="single"/>
    </w:rPr>
  </w:style>
  <w:style w:type="paragraph" w:styleId="NormalWeb">
    <w:name w:val="Normal (Web)"/>
    <w:basedOn w:val="Normal"/>
    <w:uiPriority w:val="99"/>
    <w:semiHidden/>
    <w:unhideWhenUsed/>
    <w:rsid w:val="00920D31"/>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920D3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20D31"/>
    <w:rPr>
      <w:color w:val="0000FF"/>
      <w:u w:val="single"/>
    </w:rPr>
  </w:style>
  <w:style w:type="character" w:styleId="FollowedHyperlink">
    <w:name w:val="FollowedHyperlink"/>
    <w:basedOn w:val="DefaultParagraphFont"/>
    <w:uiPriority w:val="99"/>
    <w:semiHidden/>
    <w:unhideWhenUsed/>
    <w:rsid w:val="00920D31"/>
    <w:rPr>
      <w:color w:val="800080"/>
      <w:u w:val="single"/>
    </w:rPr>
  </w:style>
  <w:style w:type="paragraph" w:styleId="NormalWeb">
    <w:name w:val="Normal (Web)"/>
    <w:basedOn w:val="Normal"/>
    <w:uiPriority w:val="99"/>
    <w:semiHidden/>
    <w:unhideWhenUsed/>
    <w:rsid w:val="00920D3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1769">
      <w:bodyDiv w:val="1"/>
      <w:marLeft w:val="0"/>
      <w:marRight w:val="0"/>
      <w:marTop w:val="0"/>
      <w:marBottom w:val="0"/>
      <w:divBdr>
        <w:top w:val="none" w:sz="0" w:space="0" w:color="auto"/>
        <w:left w:val="none" w:sz="0" w:space="0" w:color="auto"/>
        <w:bottom w:val="none" w:sz="0" w:space="0" w:color="auto"/>
        <w:right w:val="none" w:sz="0" w:space="0" w:color="auto"/>
      </w:divBdr>
      <w:divsChild>
        <w:div w:id="852912461">
          <w:marLeft w:val="0"/>
          <w:marRight w:val="0"/>
          <w:marTop w:val="0"/>
          <w:marBottom w:val="0"/>
          <w:divBdr>
            <w:top w:val="none" w:sz="0" w:space="0" w:color="auto"/>
            <w:left w:val="none" w:sz="0" w:space="0" w:color="auto"/>
            <w:bottom w:val="none" w:sz="0" w:space="0" w:color="auto"/>
            <w:right w:val="none" w:sz="0" w:space="0" w:color="auto"/>
          </w:divBdr>
        </w:div>
        <w:div w:id="1541015275">
          <w:marLeft w:val="0"/>
          <w:marRight w:val="0"/>
          <w:marTop w:val="0"/>
          <w:marBottom w:val="0"/>
          <w:divBdr>
            <w:top w:val="none" w:sz="0" w:space="0" w:color="auto"/>
            <w:left w:val="none" w:sz="0" w:space="0" w:color="auto"/>
            <w:bottom w:val="none" w:sz="0" w:space="0" w:color="auto"/>
            <w:right w:val="none" w:sz="0" w:space="0" w:color="auto"/>
          </w:divBdr>
        </w:div>
        <w:div w:id="2032561986">
          <w:marLeft w:val="0"/>
          <w:marRight w:val="0"/>
          <w:marTop w:val="0"/>
          <w:marBottom w:val="0"/>
          <w:divBdr>
            <w:top w:val="none" w:sz="0" w:space="0" w:color="auto"/>
            <w:left w:val="none" w:sz="0" w:space="0" w:color="auto"/>
            <w:bottom w:val="none" w:sz="0" w:space="0" w:color="auto"/>
            <w:right w:val="none" w:sz="0" w:space="0" w:color="auto"/>
          </w:divBdr>
        </w:div>
        <w:div w:id="1375155926">
          <w:marLeft w:val="0"/>
          <w:marRight w:val="0"/>
          <w:marTop w:val="0"/>
          <w:marBottom w:val="0"/>
          <w:divBdr>
            <w:top w:val="none" w:sz="0" w:space="0" w:color="auto"/>
            <w:left w:val="none" w:sz="0" w:space="0" w:color="auto"/>
            <w:bottom w:val="none" w:sz="0" w:space="0" w:color="auto"/>
            <w:right w:val="none" w:sz="0" w:space="0" w:color="auto"/>
          </w:divBdr>
        </w:div>
        <w:div w:id="960039438">
          <w:marLeft w:val="0"/>
          <w:marRight w:val="0"/>
          <w:marTop w:val="0"/>
          <w:marBottom w:val="0"/>
          <w:divBdr>
            <w:top w:val="none" w:sz="0" w:space="0" w:color="auto"/>
            <w:left w:val="none" w:sz="0" w:space="0" w:color="auto"/>
            <w:bottom w:val="none" w:sz="0" w:space="0" w:color="auto"/>
            <w:right w:val="none" w:sz="0" w:space="0" w:color="auto"/>
          </w:divBdr>
        </w:div>
        <w:div w:id="1050570212">
          <w:marLeft w:val="0"/>
          <w:marRight w:val="0"/>
          <w:marTop w:val="0"/>
          <w:marBottom w:val="0"/>
          <w:divBdr>
            <w:top w:val="none" w:sz="0" w:space="0" w:color="auto"/>
            <w:left w:val="none" w:sz="0" w:space="0" w:color="auto"/>
            <w:bottom w:val="none" w:sz="0" w:space="0" w:color="auto"/>
            <w:right w:val="none" w:sz="0" w:space="0" w:color="auto"/>
          </w:divBdr>
        </w:div>
        <w:div w:id="1939945465">
          <w:marLeft w:val="0"/>
          <w:marRight w:val="0"/>
          <w:marTop w:val="0"/>
          <w:marBottom w:val="0"/>
          <w:divBdr>
            <w:top w:val="none" w:sz="0" w:space="0" w:color="auto"/>
            <w:left w:val="none" w:sz="0" w:space="0" w:color="auto"/>
            <w:bottom w:val="none" w:sz="0" w:space="0" w:color="auto"/>
            <w:right w:val="none" w:sz="0" w:space="0" w:color="auto"/>
          </w:divBdr>
        </w:div>
        <w:div w:id="1460225475">
          <w:marLeft w:val="0"/>
          <w:marRight w:val="0"/>
          <w:marTop w:val="0"/>
          <w:marBottom w:val="0"/>
          <w:divBdr>
            <w:top w:val="none" w:sz="0" w:space="0" w:color="auto"/>
            <w:left w:val="none" w:sz="0" w:space="0" w:color="auto"/>
            <w:bottom w:val="none" w:sz="0" w:space="0" w:color="auto"/>
            <w:right w:val="none" w:sz="0" w:space="0" w:color="auto"/>
          </w:divBdr>
        </w:div>
        <w:div w:id="1905598821">
          <w:marLeft w:val="0"/>
          <w:marRight w:val="0"/>
          <w:marTop w:val="0"/>
          <w:marBottom w:val="0"/>
          <w:divBdr>
            <w:top w:val="none" w:sz="0" w:space="0" w:color="auto"/>
            <w:left w:val="none" w:sz="0" w:space="0" w:color="auto"/>
            <w:bottom w:val="none" w:sz="0" w:space="0" w:color="auto"/>
            <w:right w:val="none" w:sz="0" w:space="0" w:color="auto"/>
          </w:divBdr>
        </w:div>
        <w:div w:id="618534601">
          <w:marLeft w:val="0"/>
          <w:marRight w:val="0"/>
          <w:marTop w:val="0"/>
          <w:marBottom w:val="0"/>
          <w:divBdr>
            <w:top w:val="none" w:sz="0" w:space="0" w:color="auto"/>
            <w:left w:val="none" w:sz="0" w:space="0" w:color="auto"/>
            <w:bottom w:val="none" w:sz="0" w:space="0" w:color="auto"/>
            <w:right w:val="none" w:sz="0" w:space="0" w:color="auto"/>
          </w:divBdr>
        </w:div>
        <w:div w:id="688455837">
          <w:marLeft w:val="0"/>
          <w:marRight w:val="0"/>
          <w:marTop w:val="0"/>
          <w:marBottom w:val="0"/>
          <w:divBdr>
            <w:top w:val="none" w:sz="0" w:space="0" w:color="auto"/>
            <w:left w:val="none" w:sz="0" w:space="0" w:color="auto"/>
            <w:bottom w:val="none" w:sz="0" w:space="0" w:color="auto"/>
            <w:right w:val="none" w:sz="0" w:space="0" w:color="auto"/>
          </w:divBdr>
        </w:div>
        <w:div w:id="540358466">
          <w:marLeft w:val="0"/>
          <w:marRight w:val="0"/>
          <w:marTop w:val="0"/>
          <w:marBottom w:val="0"/>
          <w:divBdr>
            <w:top w:val="none" w:sz="0" w:space="0" w:color="auto"/>
            <w:left w:val="none" w:sz="0" w:space="0" w:color="auto"/>
            <w:bottom w:val="none" w:sz="0" w:space="0" w:color="auto"/>
            <w:right w:val="none" w:sz="0" w:space="0" w:color="auto"/>
          </w:divBdr>
        </w:div>
        <w:div w:id="1933854798">
          <w:marLeft w:val="0"/>
          <w:marRight w:val="0"/>
          <w:marTop w:val="0"/>
          <w:marBottom w:val="0"/>
          <w:divBdr>
            <w:top w:val="none" w:sz="0" w:space="0" w:color="auto"/>
            <w:left w:val="none" w:sz="0" w:space="0" w:color="auto"/>
            <w:bottom w:val="none" w:sz="0" w:space="0" w:color="auto"/>
            <w:right w:val="none" w:sz="0" w:space="0" w:color="auto"/>
          </w:divBdr>
        </w:div>
        <w:div w:id="87044436">
          <w:marLeft w:val="0"/>
          <w:marRight w:val="0"/>
          <w:marTop w:val="0"/>
          <w:marBottom w:val="0"/>
          <w:divBdr>
            <w:top w:val="none" w:sz="0" w:space="0" w:color="auto"/>
            <w:left w:val="none" w:sz="0" w:space="0" w:color="auto"/>
            <w:bottom w:val="none" w:sz="0" w:space="0" w:color="auto"/>
            <w:right w:val="none" w:sz="0" w:space="0" w:color="auto"/>
          </w:divBdr>
        </w:div>
        <w:div w:id="2032995762">
          <w:marLeft w:val="0"/>
          <w:marRight w:val="0"/>
          <w:marTop w:val="0"/>
          <w:marBottom w:val="0"/>
          <w:divBdr>
            <w:top w:val="none" w:sz="0" w:space="0" w:color="auto"/>
            <w:left w:val="none" w:sz="0" w:space="0" w:color="auto"/>
            <w:bottom w:val="none" w:sz="0" w:space="0" w:color="auto"/>
            <w:right w:val="none" w:sz="0" w:space="0" w:color="auto"/>
          </w:divBdr>
        </w:div>
        <w:div w:id="2087726877">
          <w:marLeft w:val="0"/>
          <w:marRight w:val="0"/>
          <w:marTop w:val="0"/>
          <w:marBottom w:val="0"/>
          <w:divBdr>
            <w:top w:val="none" w:sz="0" w:space="0" w:color="auto"/>
            <w:left w:val="none" w:sz="0" w:space="0" w:color="auto"/>
            <w:bottom w:val="none" w:sz="0" w:space="0" w:color="auto"/>
            <w:right w:val="none" w:sz="0" w:space="0" w:color="auto"/>
          </w:divBdr>
        </w:div>
        <w:div w:id="2081900033">
          <w:marLeft w:val="0"/>
          <w:marRight w:val="0"/>
          <w:marTop w:val="0"/>
          <w:marBottom w:val="0"/>
          <w:divBdr>
            <w:top w:val="none" w:sz="0" w:space="0" w:color="auto"/>
            <w:left w:val="none" w:sz="0" w:space="0" w:color="auto"/>
            <w:bottom w:val="none" w:sz="0" w:space="0" w:color="auto"/>
            <w:right w:val="none" w:sz="0" w:space="0" w:color="auto"/>
          </w:divBdr>
        </w:div>
        <w:div w:id="702638493">
          <w:marLeft w:val="0"/>
          <w:marRight w:val="0"/>
          <w:marTop w:val="0"/>
          <w:marBottom w:val="0"/>
          <w:divBdr>
            <w:top w:val="none" w:sz="0" w:space="0" w:color="auto"/>
            <w:left w:val="none" w:sz="0" w:space="0" w:color="auto"/>
            <w:bottom w:val="none" w:sz="0" w:space="0" w:color="auto"/>
            <w:right w:val="none" w:sz="0" w:space="0" w:color="auto"/>
          </w:divBdr>
        </w:div>
        <w:div w:id="1261180870">
          <w:marLeft w:val="0"/>
          <w:marRight w:val="0"/>
          <w:marTop w:val="0"/>
          <w:marBottom w:val="0"/>
          <w:divBdr>
            <w:top w:val="none" w:sz="0" w:space="0" w:color="auto"/>
            <w:left w:val="none" w:sz="0" w:space="0" w:color="auto"/>
            <w:bottom w:val="none" w:sz="0" w:space="0" w:color="auto"/>
            <w:right w:val="none" w:sz="0" w:space="0" w:color="auto"/>
          </w:divBdr>
        </w:div>
        <w:div w:id="102845028">
          <w:marLeft w:val="0"/>
          <w:marRight w:val="0"/>
          <w:marTop w:val="0"/>
          <w:marBottom w:val="0"/>
          <w:divBdr>
            <w:top w:val="none" w:sz="0" w:space="0" w:color="auto"/>
            <w:left w:val="none" w:sz="0" w:space="0" w:color="auto"/>
            <w:bottom w:val="none" w:sz="0" w:space="0" w:color="auto"/>
            <w:right w:val="none" w:sz="0" w:space="0" w:color="auto"/>
          </w:divBdr>
        </w:div>
        <w:div w:id="1887595441">
          <w:marLeft w:val="0"/>
          <w:marRight w:val="0"/>
          <w:marTop w:val="0"/>
          <w:marBottom w:val="0"/>
          <w:divBdr>
            <w:top w:val="none" w:sz="0" w:space="0" w:color="auto"/>
            <w:left w:val="none" w:sz="0" w:space="0" w:color="auto"/>
            <w:bottom w:val="none" w:sz="0" w:space="0" w:color="auto"/>
            <w:right w:val="none" w:sz="0" w:space="0" w:color="auto"/>
          </w:divBdr>
        </w:div>
        <w:div w:id="2098624609">
          <w:marLeft w:val="0"/>
          <w:marRight w:val="0"/>
          <w:marTop w:val="0"/>
          <w:marBottom w:val="0"/>
          <w:divBdr>
            <w:top w:val="none" w:sz="0" w:space="0" w:color="auto"/>
            <w:left w:val="none" w:sz="0" w:space="0" w:color="auto"/>
            <w:bottom w:val="none" w:sz="0" w:space="0" w:color="auto"/>
            <w:right w:val="none" w:sz="0" w:space="0" w:color="auto"/>
          </w:divBdr>
        </w:div>
        <w:div w:id="1481536096">
          <w:marLeft w:val="0"/>
          <w:marRight w:val="0"/>
          <w:marTop w:val="0"/>
          <w:marBottom w:val="0"/>
          <w:divBdr>
            <w:top w:val="none" w:sz="0" w:space="0" w:color="auto"/>
            <w:left w:val="none" w:sz="0" w:space="0" w:color="auto"/>
            <w:bottom w:val="none" w:sz="0" w:space="0" w:color="auto"/>
            <w:right w:val="none" w:sz="0" w:space="0" w:color="auto"/>
          </w:divBdr>
        </w:div>
        <w:div w:id="21253672">
          <w:marLeft w:val="0"/>
          <w:marRight w:val="0"/>
          <w:marTop w:val="0"/>
          <w:marBottom w:val="0"/>
          <w:divBdr>
            <w:top w:val="none" w:sz="0" w:space="0" w:color="auto"/>
            <w:left w:val="none" w:sz="0" w:space="0" w:color="auto"/>
            <w:bottom w:val="none" w:sz="0" w:space="0" w:color="auto"/>
            <w:right w:val="none" w:sz="0" w:space="0" w:color="auto"/>
          </w:divBdr>
        </w:div>
        <w:div w:id="61830978">
          <w:marLeft w:val="0"/>
          <w:marRight w:val="0"/>
          <w:marTop w:val="0"/>
          <w:marBottom w:val="0"/>
          <w:divBdr>
            <w:top w:val="none" w:sz="0" w:space="0" w:color="auto"/>
            <w:left w:val="none" w:sz="0" w:space="0" w:color="auto"/>
            <w:bottom w:val="none" w:sz="0" w:space="0" w:color="auto"/>
            <w:right w:val="none" w:sz="0" w:space="0" w:color="auto"/>
          </w:divBdr>
        </w:div>
        <w:div w:id="1480222030">
          <w:marLeft w:val="0"/>
          <w:marRight w:val="0"/>
          <w:marTop w:val="0"/>
          <w:marBottom w:val="0"/>
          <w:divBdr>
            <w:top w:val="none" w:sz="0" w:space="0" w:color="auto"/>
            <w:left w:val="none" w:sz="0" w:space="0" w:color="auto"/>
            <w:bottom w:val="none" w:sz="0" w:space="0" w:color="auto"/>
            <w:right w:val="none" w:sz="0" w:space="0" w:color="auto"/>
          </w:divBdr>
        </w:div>
        <w:div w:id="68382494">
          <w:marLeft w:val="0"/>
          <w:marRight w:val="0"/>
          <w:marTop w:val="0"/>
          <w:marBottom w:val="0"/>
          <w:divBdr>
            <w:top w:val="none" w:sz="0" w:space="0" w:color="auto"/>
            <w:left w:val="none" w:sz="0" w:space="0" w:color="auto"/>
            <w:bottom w:val="none" w:sz="0" w:space="0" w:color="auto"/>
            <w:right w:val="none" w:sz="0" w:space="0" w:color="auto"/>
          </w:divBdr>
        </w:div>
        <w:div w:id="2089572603">
          <w:marLeft w:val="0"/>
          <w:marRight w:val="0"/>
          <w:marTop w:val="0"/>
          <w:marBottom w:val="0"/>
          <w:divBdr>
            <w:top w:val="none" w:sz="0" w:space="0" w:color="auto"/>
            <w:left w:val="none" w:sz="0" w:space="0" w:color="auto"/>
            <w:bottom w:val="none" w:sz="0" w:space="0" w:color="auto"/>
            <w:right w:val="none" w:sz="0" w:space="0" w:color="auto"/>
          </w:divBdr>
        </w:div>
        <w:div w:id="720061734">
          <w:marLeft w:val="0"/>
          <w:marRight w:val="0"/>
          <w:marTop w:val="0"/>
          <w:marBottom w:val="0"/>
          <w:divBdr>
            <w:top w:val="none" w:sz="0" w:space="0" w:color="auto"/>
            <w:left w:val="none" w:sz="0" w:space="0" w:color="auto"/>
            <w:bottom w:val="none" w:sz="0" w:space="0" w:color="auto"/>
            <w:right w:val="none" w:sz="0" w:space="0" w:color="auto"/>
          </w:divBdr>
        </w:div>
        <w:div w:id="1896503783">
          <w:marLeft w:val="0"/>
          <w:marRight w:val="0"/>
          <w:marTop w:val="0"/>
          <w:marBottom w:val="0"/>
          <w:divBdr>
            <w:top w:val="none" w:sz="0" w:space="0" w:color="auto"/>
            <w:left w:val="none" w:sz="0" w:space="0" w:color="auto"/>
            <w:bottom w:val="none" w:sz="0" w:space="0" w:color="auto"/>
            <w:right w:val="none" w:sz="0" w:space="0" w:color="auto"/>
          </w:divBdr>
        </w:div>
      </w:divsChild>
    </w:div>
    <w:div w:id="1074745716">
      <w:bodyDiv w:val="1"/>
      <w:marLeft w:val="0"/>
      <w:marRight w:val="0"/>
      <w:marTop w:val="0"/>
      <w:marBottom w:val="0"/>
      <w:divBdr>
        <w:top w:val="none" w:sz="0" w:space="0" w:color="auto"/>
        <w:left w:val="none" w:sz="0" w:space="0" w:color="auto"/>
        <w:bottom w:val="none" w:sz="0" w:space="0" w:color="auto"/>
        <w:right w:val="none" w:sz="0" w:space="0" w:color="auto"/>
      </w:divBdr>
      <w:divsChild>
        <w:div w:id="1924290783">
          <w:marLeft w:val="0"/>
          <w:marRight w:val="0"/>
          <w:marTop w:val="0"/>
          <w:marBottom w:val="0"/>
          <w:divBdr>
            <w:top w:val="none" w:sz="0" w:space="0" w:color="auto"/>
            <w:left w:val="none" w:sz="0" w:space="0" w:color="auto"/>
            <w:bottom w:val="none" w:sz="0" w:space="0" w:color="auto"/>
            <w:right w:val="none" w:sz="0" w:space="0" w:color="auto"/>
          </w:divBdr>
        </w:div>
        <w:div w:id="385419956">
          <w:marLeft w:val="0"/>
          <w:marRight w:val="0"/>
          <w:marTop w:val="0"/>
          <w:marBottom w:val="0"/>
          <w:divBdr>
            <w:top w:val="none" w:sz="0" w:space="0" w:color="auto"/>
            <w:left w:val="none" w:sz="0" w:space="0" w:color="auto"/>
            <w:bottom w:val="none" w:sz="0" w:space="0" w:color="auto"/>
            <w:right w:val="none" w:sz="0" w:space="0" w:color="auto"/>
          </w:divBdr>
        </w:div>
        <w:div w:id="718550356">
          <w:marLeft w:val="0"/>
          <w:marRight w:val="0"/>
          <w:marTop w:val="0"/>
          <w:marBottom w:val="0"/>
          <w:divBdr>
            <w:top w:val="none" w:sz="0" w:space="0" w:color="auto"/>
            <w:left w:val="none" w:sz="0" w:space="0" w:color="auto"/>
            <w:bottom w:val="none" w:sz="0" w:space="0" w:color="auto"/>
            <w:right w:val="none" w:sz="0" w:space="0" w:color="auto"/>
          </w:divBdr>
        </w:div>
        <w:div w:id="2005931447">
          <w:marLeft w:val="0"/>
          <w:marRight w:val="0"/>
          <w:marTop w:val="0"/>
          <w:marBottom w:val="0"/>
          <w:divBdr>
            <w:top w:val="none" w:sz="0" w:space="0" w:color="auto"/>
            <w:left w:val="none" w:sz="0" w:space="0" w:color="auto"/>
            <w:bottom w:val="none" w:sz="0" w:space="0" w:color="auto"/>
            <w:right w:val="none" w:sz="0" w:space="0" w:color="auto"/>
          </w:divBdr>
        </w:div>
        <w:div w:id="592712642">
          <w:marLeft w:val="0"/>
          <w:marRight w:val="0"/>
          <w:marTop w:val="0"/>
          <w:marBottom w:val="0"/>
          <w:divBdr>
            <w:top w:val="none" w:sz="0" w:space="0" w:color="auto"/>
            <w:left w:val="none" w:sz="0" w:space="0" w:color="auto"/>
            <w:bottom w:val="none" w:sz="0" w:space="0" w:color="auto"/>
            <w:right w:val="none" w:sz="0" w:space="0" w:color="auto"/>
          </w:divBdr>
        </w:div>
        <w:div w:id="1974023258">
          <w:marLeft w:val="0"/>
          <w:marRight w:val="0"/>
          <w:marTop w:val="0"/>
          <w:marBottom w:val="0"/>
          <w:divBdr>
            <w:top w:val="none" w:sz="0" w:space="0" w:color="auto"/>
            <w:left w:val="none" w:sz="0" w:space="0" w:color="auto"/>
            <w:bottom w:val="none" w:sz="0" w:space="0" w:color="auto"/>
            <w:right w:val="none" w:sz="0" w:space="0" w:color="auto"/>
          </w:divBdr>
        </w:div>
        <w:div w:id="1804275252">
          <w:marLeft w:val="0"/>
          <w:marRight w:val="0"/>
          <w:marTop w:val="0"/>
          <w:marBottom w:val="0"/>
          <w:divBdr>
            <w:top w:val="none" w:sz="0" w:space="0" w:color="auto"/>
            <w:left w:val="none" w:sz="0" w:space="0" w:color="auto"/>
            <w:bottom w:val="none" w:sz="0" w:space="0" w:color="auto"/>
            <w:right w:val="none" w:sz="0" w:space="0" w:color="auto"/>
          </w:divBdr>
        </w:div>
        <w:div w:id="1550066569">
          <w:marLeft w:val="0"/>
          <w:marRight w:val="0"/>
          <w:marTop w:val="0"/>
          <w:marBottom w:val="0"/>
          <w:divBdr>
            <w:top w:val="none" w:sz="0" w:space="0" w:color="auto"/>
            <w:left w:val="none" w:sz="0" w:space="0" w:color="auto"/>
            <w:bottom w:val="none" w:sz="0" w:space="0" w:color="auto"/>
            <w:right w:val="none" w:sz="0" w:space="0" w:color="auto"/>
          </w:divBdr>
        </w:div>
        <w:div w:id="1204636373">
          <w:marLeft w:val="0"/>
          <w:marRight w:val="0"/>
          <w:marTop w:val="0"/>
          <w:marBottom w:val="0"/>
          <w:divBdr>
            <w:top w:val="none" w:sz="0" w:space="0" w:color="auto"/>
            <w:left w:val="none" w:sz="0" w:space="0" w:color="auto"/>
            <w:bottom w:val="none" w:sz="0" w:space="0" w:color="auto"/>
            <w:right w:val="none" w:sz="0" w:space="0" w:color="auto"/>
          </w:divBdr>
        </w:div>
        <w:div w:id="1678464777">
          <w:marLeft w:val="0"/>
          <w:marRight w:val="0"/>
          <w:marTop w:val="0"/>
          <w:marBottom w:val="0"/>
          <w:divBdr>
            <w:top w:val="none" w:sz="0" w:space="0" w:color="auto"/>
            <w:left w:val="none" w:sz="0" w:space="0" w:color="auto"/>
            <w:bottom w:val="none" w:sz="0" w:space="0" w:color="auto"/>
            <w:right w:val="none" w:sz="0" w:space="0" w:color="auto"/>
          </w:divBdr>
        </w:div>
        <w:div w:id="216353892">
          <w:marLeft w:val="0"/>
          <w:marRight w:val="0"/>
          <w:marTop w:val="0"/>
          <w:marBottom w:val="0"/>
          <w:divBdr>
            <w:top w:val="none" w:sz="0" w:space="0" w:color="auto"/>
            <w:left w:val="none" w:sz="0" w:space="0" w:color="auto"/>
            <w:bottom w:val="none" w:sz="0" w:space="0" w:color="auto"/>
            <w:right w:val="none" w:sz="0" w:space="0" w:color="auto"/>
          </w:divBdr>
        </w:div>
        <w:div w:id="874390092">
          <w:marLeft w:val="0"/>
          <w:marRight w:val="0"/>
          <w:marTop w:val="0"/>
          <w:marBottom w:val="0"/>
          <w:divBdr>
            <w:top w:val="none" w:sz="0" w:space="0" w:color="auto"/>
            <w:left w:val="none" w:sz="0" w:space="0" w:color="auto"/>
            <w:bottom w:val="none" w:sz="0" w:space="0" w:color="auto"/>
            <w:right w:val="none" w:sz="0" w:space="0" w:color="auto"/>
          </w:divBdr>
        </w:div>
        <w:div w:id="1657606109">
          <w:marLeft w:val="0"/>
          <w:marRight w:val="0"/>
          <w:marTop w:val="0"/>
          <w:marBottom w:val="0"/>
          <w:divBdr>
            <w:top w:val="none" w:sz="0" w:space="0" w:color="auto"/>
            <w:left w:val="none" w:sz="0" w:space="0" w:color="auto"/>
            <w:bottom w:val="none" w:sz="0" w:space="0" w:color="auto"/>
            <w:right w:val="none" w:sz="0" w:space="0" w:color="auto"/>
          </w:divBdr>
        </w:div>
        <w:div w:id="508299003">
          <w:marLeft w:val="0"/>
          <w:marRight w:val="0"/>
          <w:marTop w:val="0"/>
          <w:marBottom w:val="0"/>
          <w:divBdr>
            <w:top w:val="none" w:sz="0" w:space="0" w:color="auto"/>
            <w:left w:val="none" w:sz="0" w:space="0" w:color="auto"/>
            <w:bottom w:val="none" w:sz="0" w:space="0" w:color="auto"/>
            <w:right w:val="none" w:sz="0" w:space="0" w:color="auto"/>
          </w:divBdr>
        </w:div>
        <w:div w:id="1262103562">
          <w:marLeft w:val="0"/>
          <w:marRight w:val="0"/>
          <w:marTop w:val="0"/>
          <w:marBottom w:val="0"/>
          <w:divBdr>
            <w:top w:val="none" w:sz="0" w:space="0" w:color="auto"/>
            <w:left w:val="none" w:sz="0" w:space="0" w:color="auto"/>
            <w:bottom w:val="none" w:sz="0" w:space="0" w:color="auto"/>
            <w:right w:val="none" w:sz="0" w:space="0" w:color="auto"/>
          </w:divBdr>
        </w:div>
        <w:div w:id="3165677">
          <w:marLeft w:val="0"/>
          <w:marRight w:val="0"/>
          <w:marTop w:val="0"/>
          <w:marBottom w:val="0"/>
          <w:divBdr>
            <w:top w:val="none" w:sz="0" w:space="0" w:color="auto"/>
            <w:left w:val="none" w:sz="0" w:space="0" w:color="auto"/>
            <w:bottom w:val="none" w:sz="0" w:space="0" w:color="auto"/>
            <w:right w:val="none" w:sz="0" w:space="0" w:color="auto"/>
          </w:divBdr>
        </w:div>
        <w:div w:id="440684550">
          <w:marLeft w:val="0"/>
          <w:marRight w:val="0"/>
          <w:marTop w:val="0"/>
          <w:marBottom w:val="0"/>
          <w:divBdr>
            <w:top w:val="none" w:sz="0" w:space="0" w:color="auto"/>
            <w:left w:val="none" w:sz="0" w:space="0" w:color="auto"/>
            <w:bottom w:val="none" w:sz="0" w:space="0" w:color="auto"/>
            <w:right w:val="none" w:sz="0" w:space="0" w:color="auto"/>
          </w:divBdr>
        </w:div>
        <w:div w:id="680087454">
          <w:marLeft w:val="0"/>
          <w:marRight w:val="0"/>
          <w:marTop w:val="0"/>
          <w:marBottom w:val="0"/>
          <w:divBdr>
            <w:top w:val="none" w:sz="0" w:space="0" w:color="auto"/>
            <w:left w:val="none" w:sz="0" w:space="0" w:color="auto"/>
            <w:bottom w:val="none" w:sz="0" w:space="0" w:color="auto"/>
            <w:right w:val="none" w:sz="0" w:space="0" w:color="auto"/>
          </w:divBdr>
        </w:div>
        <w:div w:id="1858301355">
          <w:marLeft w:val="0"/>
          <w:marRight w:val="0"/>
          <w:marTop w:val="0"/>
          <w:marBottom w:val="0"/>
          <w:divBdr>
            <w:top w:val="none" w:sz="0" w:space="0" w:color="auto"/>
            <w:left w:val="none" w:sz="0" w:space="0" w:color="auto"/>
            <w:bottom w:val="none" w:sz="0" w:space="0" w:color="auto"/>
            <w:right w:val="none" w:sz="0" w:space="0" w:color="auto"/>
          </w:divBdr>
        </w:div>
        <w:div w:id="1917933583">
          <w:marLeft w:val="0"/>
          <w:marRight w:val="0"/>
          <w:marTop w:val="0"/>
          <w:marBottom w:val="0"/>
          <w:divBdr>
            <w:top w:val="none" w:sz="0" w:space="0" w:color="auto"/>
            <w:left w:val="none" w:sz="0" w:space="0" w:color="auto"/>
            <w:bottom w:val="none" w:sz="0" w:space="0" w:color="auto"/>
            <w:right w:val="none" w:sz="0" w:space="0" w:color="auto"/>
          </w:divBdr>
        </w:div>
        <w:div w:id="1684284251">
          <w:marLeft w:val="0"/>
          <w:marRight w:val="0"/>
          <w:marTop w:val="0"/>
          <w:marBottom w:val="0"/>
          <w:divBdr>
            <w:top w:val="none" w:sz="0" w:space="0" w:color="auto"/>
            <w:left w:val="none" w:sz="0" w:space="0" w:color="auto"/>
            <w:bottom w:val="none" w:sz="0" w:space="0" w:color="auto"/>
            <w:right w:val="none" w:sz="0" w:space="0" w:color="auto"/>
          </w:divBdr>
        </w:div>
        <w:div w:id="1666083262">
          <w:marLeft w:val="0"/>
          <w:marRight w:val="0"/>
          <w:marTop w:val="0"/>
          <w:marBottom w:val="0"/>
          <w:divBdr>
            <w:top w:val="none" w:sz="0" w:space="0" w:color="auto"/>
            <w:left w:val="none" w:sz="0" w:space="0" w:color="auto"/>
            <w:bottom w:val="none" w:sz="0" w:space="0" w:color="auto"/>
            <w:right w:val="none" w:sz="0" w:space="0" w:color="auto"/>
          </w:divBdr>
        </w:div>
        <w:div w:id="1072655528">
          <w:marLeft w:val="0"/>
          <w:marRight w:val="0"/>
          <w:marTop w:val="0"/>
          <w:marBottom w:val="0"/>
          <w:divBdr>
            <w:top w:val="none" w:sz="0" w:space="0" w:color="auto"/>
            <w:left w:val="none" w:sz="0" w:space="0" w:color="auto"/>
            <w:bottom w:val="none" w:sz="0" w:space="0" w:color="auto"/>
            <w:right w:val="none" w:sz="0" w:space="0" w:color="auto"/>
          </w:divBdr>
        </w:div>
        <w:div w:id="342126378">
          <w:marLeft w:val="0"/>
          <w:marRight w:val="0"/>
          <w:marTop w:val="0"/>
          <w:marBottom w:val="0"/>
          <w:divBdr>
            <w:top w:val="none" w:sz="0" w:space="0" w:color="auto"/>
            <w:left w:val="none" w:sz="0" w:space="0" w:color="auto"/>
            <w:bottom w:val="none" w:sz="0" w:space="0" w:color="auto"/>
            <w:right w:val="none" w:sz="0" w:space="0" w:color="auto"/>
          </w:divBdr>
        </w:div>
        <w:div w:id="1246259966">
          <w:marLeft w:val="0"/>
          <w:marRight w:val="0"/>
          <w:marTop w:val="0"/>
          <w:marBottom w:val="0"/>
          <w:divBdr>
            <w:top w:val="none" w:sz="0" w:space="0" w:color="auto"/>
            <w:left w:val="none" w:sz="0" w:space="0" w:color="auto"/>
            <w:bottom w:val="none" w:sz="0" w:space="0" w:color="auto"/>
            <w:right w:val="none" w:sz="0" w:space="0" w:color="auto"/>
          </w:divBdr>
        </w:div>
        <w:div w:id="1035930364">
          <w:marLeft w:val="0"/>
          <w:marRight w:val="0"/>
          <w:marTop w:val="0"/>
          <w:marBottom w:val="0"/>
          <w:divBdr>
            <w:top w:val="none" w:sz="0" w:space="0" w:color="auto"/>
            <w:left w:val="none" w:sz="0" w:space="0" w:color="auto"/>
            <w:bottom w:val="none" w:sz="0" w:space="0" w:color="auto"/>
            <w:right w:val="none" w:sz="0" w:space="0" w:color="auto"/>
          </w:divBdr>
        </w:div>
        <w:div w:id="1755201296">
          <w:marLeft w:val="0"/>
          <w:marRight w:val="0"/>
          <w:marTop w:val="0"/>
          <w:marBottom w:val="0"/>
          <w:divBdr>
            <w:top w:val="none" w:sz="0" w:space="0" w:color="auto"/>
            <w:left w:val="none" w:sz="0" w:space="0" w:color="auto"/>
            <w:bottom w:val="none" w:sz="0" w:space="0" w:color="auto"/>
            <w:right w:val="none" w:sz="0" w:space="0" w:color="auto"/>
          </w:divBdr>
        </w:div>
        <w:div w:id="1370302924">
          <w:marLeft w:val="0"/>
          <w:marRight w:val="0"/>
          <w:marTop w:val="0"/>
          <w:marBottom w:val="0"/>
          <w:divBdr>
            <w:top w:val="none" w:sz="0" w:space="0" w:color="auto"/>
            <w:left w:val="none" w:sz="0" w:space="0" w:color="auto"/>
            <w:bottom w:val="none" w:sz="0" w:space="0" w:color="auto"/>
            <w:right w:val="none" w:sz="0" w:space="0" w:color="auto"/>
          </w:divBdr>
        </w:div>
        <w:div w:id="2028749673">
          <w:marLeft w:val="0"/>
          <w:marRight w:val="0"/>
          <w:marTop w:val="0"/>
          <w:marBottom w:val="0"/>
          <w:divBdr>
            <w:top w:val="none" w:sz="0" w:space="0" w:color="auto"/>
            <w:left w:val="none" w:sz="0" w:space="0" w:color="auto"/>
            <w:bottom w:val="none" w:sz="0" w:space="0" w:color="auto"/>
            <w:right w:val="none" w:sz="0" w:space="0" w:color="auto"/>
          </w:divBdr>
        </w:div>
        <w:div w:id="527841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2495</Words>
  <Characters>14222</Characters>
  <Application>Microsoft Office Word</Application>
  <DocSecurity>0</DocSecurity>
  <Lines>118</Lines>
  <Paragraphs>33</Paragraphs>
  <ScaleCrop>false</ScaleCrop>
  <Company/>
  <LinksUpToDate>false</LinksUpToDate>
  <CharactersWithSpaces>16684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2020-04-26T12:10:00Z</dcterms:created>
  <dcterms:modified xsi:type="dcterms:W3CDTF">2020-04-26T12:11:00Z</dcterms:modified>
</cp:coreProperties>
</file>