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4E4" w:rsidRPr="006414E4" w:rsidRDefault="006414E4" w:rsidP="006414E4">
      <w:pPr>
        <w:jc w:val="center"/>
        <w:rPr>
          <w:sz w:val="32"/>
          <w:szCs w:val="32"/>
        </w:rPr>
      </w:pPr>
      <w:bookmarkStart w:id="0" w:name="Anchor1"/>
      <w:bookmarkEnd w:id="0"/>
      <w:r w:rsidRPr="006414E4">
        <w:rPr>
          <w:sz w:val="32"/>
          <w:szCs w:val="32"/>
          <w:rtl/>
        </w:rPr>
        <w:t xml:space="preserve">الطعن رقم </w:t>
      </w:r>
      <w:bookmarkStart w:id="1" w:name="_GoBack"/>
      <w:bookmarkEnd w:id="1"/>
      <w:r w:rsidRPr="006414E4">
        <w:rPr>
          <w:sz w:val="32"/>
          <w:szCs w:val="32"/>
        </w:rPr>
        <w:t>596/2010</w:t>
      </w:r>
    </w:p>
    <w:p w:rsidR="006414E4" w:rsidRPr="006414E4" w:rsidRDefault="006414E4" w:rsidP="006414E4">
      <w:pPr>
        <w:rPr>
          <w:sz w:val="32"/>
          <w:szCs w:val="32"/>
        </w:rPr>
      </w:pPr>
      <w:bookmarkStart w:id="2" w:name="Anchor7"/>
      <w:bookmarkEnd w:id="2"/>
      <w:r w:rsidRPr="006414E4">
        <w:rPr>
          <w:sz w:val="32"/>
          <w:szCs w:val="32"/>
          <w:rtl/>
        </w:rPr>
        <w:t>هيئة المحكمة</w:t>
      </w:r>
      <w:r w:rsidRPr="006414E4">
        <w:rPr>
          <w:sz w:val="32"/>
          <w:szCs w:val="32"/>
        </w:rPr>
        <w:t xml:space="preserve">: </w:t>
      </w:r>
      <w:r w:rsidRPr="006414E4">
        <w:rPr>
          <w:sz w:val="32"/>
          <w:szCs w:val="32"/>
          <w:rtl/>
        </w:rPr>
        <w:t>برئاسة السيد المستشار عبد العزيز الفهد وكيل المحكمة وعضوية السادة المستشارين يوسف العمران ومصطفى ثابت ومحمود التركاوي وعبدالرحمن مطاوع</w:t>
      </w:r>
    </w:p>
    <w:bookmarkStart w:id="3" w:name="Anchor24"/>
    <w:bookmarkEnd w:id="3"/>
    <w:p w:rsidR="006414E4" w:rsidRPr="006414E4" w:rsidRDefault="006414E4" w:rsidP="006414E4">
      <w:pPr>
        <w:rPr>
          <w:sz w:val="32"/>
          <w:szCs w:val="32"/>
        </w:rPr>
      </w:pPr>
      <w:r w:rsidRPr="006414E4">
        <w:rPr>
          <w:sz w:val="32"/>
          <w:szCs w:val="32"/>
        </w:rPr>
        <w:fldChar w:fldCharType="begin"/>
      </w:r>
      <w:r w:rsidRPr="006414E4">
        <w:rPr>
          <w:sz w:val="32"/>
          <w:szCs w:val="32"/>
        </w:rPr>
        <w:instrText xml:space="preserve"> HYPERLINK "http://www.law.gov.kw/KWT_CC-Ar/00_2014/00_%D8%A7%D9%84%D8%AF%D8%A7%D8%A6%D8%B1%D8%A9%20%D8%A7%D9%84%D8%AA%D8%AC%D8%A7%D8%B1%D9%8A%D8%A9/KWT-CC-Ar_2014-06-24_00596_Taan.html" \l "TM2014_596_1" </w:instrText>
      </w:r>
      <w:r w:rsidRPr="006414E4">
        <w:rPr>
          <w:sz w:val="32"/>
          <w:szCs w:val="32"/>
        </w:rPr>
        <w:fldChar w:fldCharType="separate"/>
      </w:r>
      <w:r w:rsidRPr="006414E4">
        <w:rPr>
          <w:rStyle w:val="Hyperlink"/>
          <w:sz w:val="32"/>
          <w:szCs w:val="32"/>
        </w:rPr>
        <w:t xml:space="preserve">1 – </w:t>
      </w:r>
      <w:r w:rsidRPr="006414E4">
        <w:rPr>
          <w:rStyle w:val="Hyperlink"/>
          <w:sz w:val="32"/>
          <w:szCs w:val="32"/>
          <w:rtl/>
        </w:rPr>
        <w:t>ان الورقة العرفية حجة بما دُوِّنَ فيها ما لم يتمّ إنكارها صراحة من الشخص المنسوبة اليه من خط او إمضاء أو ختم أو بصحة</w:t>
      </w:r>
      <w:r w:rsidRPr="006414E4">
        <w:rPr>
          <w:rStyle w:val="Hyperlink"/>
          <w:sz w:val="32"/>
          <w:szCs w:val="32"/>
        </w:rPr>
        <w:t>.</w:t>
      </w:r>
      <w:r w:rsidRPr="006414E4">
        <w:rPr>
          <w:sz w:val="32"/>
          <w:szCs w:val="32"/>
        </w:rPr>
        <w:fldChar w:fldCharType="end"/>
      </w:r>
    </w:p>
    <w:bookmarkStart w:id="4" w:name="Anchor37"/>
    <w:bookmarkEnd w:id="4"/>
    <w:p w:rsidR="006414E4" w:rsidRPr="006414E4" w:rsidRDefault="006414E4" w:rsidP="006414E4">
      <w:pPr>
        <w:rPr>
          <w:sz w:val="32"/>
          <w:szCs w:val="32"/>
        </w:rPr>
      </w:pPr>
      <w:r w:rsidRPr="006414E4">
        <w:rPr>
          <w:sz w:val="32"/>
          <w:szCs w:val="32"/>
        </w:rPr>
        <w:fldChar w:fldCharType="begin"/>
      </w:r>
      <w:r w:rsidRPr="006414E4">
        <w:rPr>
          <w:sz w:val="32"/>
          <w:szCs w:val="32"/>
        </w:rPr>
        <w:instrText xml:space="preserve"> HYPERLINK "http://www.law.gov.kw/KWT_CC-Ar/00_2014/00_%D8%A7%D9%84%D8%AF%D8%A7%D8%A6%D8%B1%D8%A9%20%D8%A7%D9%84%D8%AA%D8%AC%D8%A7%D8%B1%D9%8A%D8%A9/KWT-CC-Ar_2014-06-24_00596_Taan.html" \l "TM2014_596_2" </w:instrText>
      </w:r>
      <w:r w:rsidRPr="006414E4">
        <w:rPr>
          <w:sz w:val="32"/>
          <w:szCs w:val="32"/>
        </w:rPr>
        <w:fldChar w:fldCharType="separate"/>
      </w:r>
      <w:r w:rsidRPr="006414E4">
        <w:rPr>
          <w:rStyle w:val="Hyperlink"/>
          <w:sz w:val="32"/>
          <w:szCs w:val="32"/>
        </w:rPr>
        <w:t xml:space="preserve">2 – </w:t>
      </w:r>
      <w:r w:rsidRPr="006414E4">
        <w:rPr>
          <w:rStyle w:val="Hyperlink"/>
          <w:sz w:val="32"/>
          <w:szCs w:val="32"/>
          <w:rtl/>
        </w:rPr>
        <w:t>ان قبول الشخص بالورقة العرفية المنسوبة اليه يؤدي الى عدم جواز التحلل منها إلا إذا بيّن كيفية وصول توقيعه الصحيح عليها وأقام الدليل على ذلك</w:t>
      </w:r>
      <w:r w:rsidRPr="006414E4">
        <w:rPr>
          <w:rStyle w:val="Hyperlink"/>
          <w:sz w:val="32"/>
          <w:szCs w:val="32"/>
        </w:rPr>
        <w:t>.</w:t>
      </w:r>
      <w:r w:rsidRPr="006414E4">
        <w:rPr>
          <w:sz w:val="32"/>
          <w:szCs w:val="32"/>
        </w:rPr>
        <w:fldChar w:fldCharType="end"/>
      </w:r>
    </w:p>
    <w:bookmarkStart w:id="5" w:name="Anchor52"/>
    <w:bookmarkEnd w:id="5"/>
    <w:p w:rsidR="006414E4" w:rsidRPr="006414E4" w:rsidRDefault="006414E4" w:rsidP="006414E4">
      <w:pPr>
        <w:rPr>
          <w:sz w:val="32"/>
          <w:szCs w:val="32"/>
        </w:rPr>
      </w:pPr>
      <w:r w:rsidRPr="006414E4">
        <w:rPr>
          <w:sz w:val="32"/>
          <w:szCs w:val="32"/>
        </w:rPr>
        <w:fldChar w:fldCharType="begin"/>
      </w:r>
      <w:r w:rsidRPr="006414E4">
        <w:rPr>
          <w:sz w:val="32"/>
          <w:szCs w:val="32"/>
        </w:rPr>
        <w:instrText xml:space="preserve"> HYPERLINK "http://www.law.gov.kw/KWT_CC-Ar/00_2014/00_%D8%A7%D9%84%D8%AF%D8%A7%D8%A6%D8%B1%D8%A9%20%D8%A7%D9%84%D8%AA%D8%AC%D8%A7%D8%B1%D9%8A%D8%A9/KWT-CC-Ar_2014-06-24_00596_Taan.html" \l "TM2014_596_3" </w:instrText>
      </w:r>
      <w:r w:rsidRPr="006414E4">
        <w:rPr>
          <w:sz w:val="32"/>
          <w:szCs w:val="32"/>
        </w:rPr>
        <w:fldChar w:fldCharType="separate"/>
      </w:r>
      <w:r w:rsidRPr="006414E4">
        <w:rPr>
          <w:rStyle w:val="Hyperlink"/>
          <w:sz w:val="32"/>
          <w:szCs w:val="32"/>
        </w:rPr>
        <w:t xml:space="preserve">3 – </w:t>
      </w:r>
      <w:r w:rsidRPr="006414E4">
        <w:rPr>
          <w:rStyle w:val="Hyperlink"/>
          <w:sz w:val="32"/>
          <w:szCs w:val="32"/>
          <w:rtl/>
        </w:rPr>
        <w:t>إن الحكم الذي قضى برفض دعوى تسليم الشقة موضوع عقد البيع بعد ثبوت فسخ عقد البيع وإسترداد البائع جميع مستحقاته المالية والمعنوية وثبوت ذلك في اصل الإقرار المنسوب الى البائع هو حكم صحيح قانوناً</w:t>
      </w:r>
      <w:r w:rsidRPr="006414E4">
        <w:rPr>
          <w:rStyle w:val="Hyperlink"/>
          <w:sz w:val="32"/>
          <w:szCs w:val="32"/>
        </w:rPr>
        <w:t>.</w:t>
      </w:r>
      <w:r w:rsidRPr="006414E4">
        <w:rPr>
          <w:sz w:val="32"/>
          <w:szCs w:val="32"/>
        </w:rPr>
        <w:fldChar w:fldCharType="end"/>
      </w:r>
      <w:r w:rsidRPr="006414E4">
        <w:rPr>
          <w:sz w:val="32"/>
          <w:szCs w:val="32"/>
        </w:rPr>
        <w:br/>
      </w:r>
      <w:r w:rsidRPr="006414E4">
        <w:rPr>
          <w:sz w:val="32"/>
          <w:szCs w:val="32"/>
        </w:rPr>
        <w:br/>
      </w:r>
      <w:r w:rsidRPr="006414E4">
        <w:rPr>
          <w:sz w:val="32"/>
          <w:szCs w:val="32"/>
          <w:u w:val="single"/>
          <w:rtl/>
        </w:rPr>
        <w:t>ملاحظة</w:t>
      </w:r>
      <w:r w:rsidRPr="006414E4">
        <w:rPr>
          <w:sz w:val="32"/>
          <w:szCs w:val="32"/>
          <w:u w:val="single"/>
        </w:rPr>
        <w:t xml:space="preserve"> :</w:t>
      </w:r>
      <w:r w:rsidRPr="006414E4">
        <w:rPr>
          <w:sz w:val="32"/>
          <w:szCs w:val="32"/>
        </w:rPr>
        <w:br/>
      </w:r>
      <w:r w:rsidRPr="006414E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414E4" w:rsidRPr="006414E4" w:rsidRDefault="006414E4" w:rsidP="006414E4">
      <w:pPr>
        <w:rPr>
          <w:sz w:val="32"/>
          <w:szCs w:val="32"/>
        </w:rPr>
      </w:pPr>
      <w:bookmarkStart w:id="6" w:name="Anchor72"/>
      <w:bookmarkEnd w:id="6"/>
      <w:r w:rsidRPr="006414E4">
        <w:rPr>
          <w:b/>
          <w:bCs/>
          <w:sz w:val="32"/>
          <w:szCs w:val="32"/>
          <w:rtl/>
        </w:rPr>
        <w:t>المحكمة</w:t>
      </w:r>
    </w:p>
    <w:p w:rsidR="006414E4" w:rsidRPr="006414E4" w:rsidRDefault="006414E4" w:rsidP="006414E4">
      <w:pPr>
        <w:rPr>
          <w:sz w:val="32"/>
          <w:szCs w:val="32"/>
        </w:rPr>
      </w:pPr>
      <w:bookmarkStart w:id="7" w:name="Anchor73"/>
      <w:bookmarkEnd w:id="7"/>
      <w:r w:rsidRPr="006414E4">
        <w:rPr>
          <w:sz w:val="32"/>
          <w:szCs w:val="32"/>
          <w:rtl/>
        </w:rPr>
        <w:t>بعد الإطلاع على الأوراق وسماع المرافعة وبعد المداولة</w:t>
      </w:r>
      <w:r w:rsidRPr="006414E4">
        <w:rPr>
          <w:sz w:val="32"/>
          <w:szCs w:val="32"/>
        </w:rPr>
        <w:t xml:space="preserve">. </w:t>
      </w:r>
    </w:p>
    <w:p w:rsidR="006414E4" w:rsidRPr="006414E4" w:rsidRDefault="006414E4" w:rsidP="006414E4">
      <w:pPr>
        <w:rPr>
          <w:sz w:val="32"/>
          <w:szCs w:val="32"/>
        </w:rPr>
      </w:pPr>
      <w:bookmarkStart w:id="8" w:name="Anchor80"/>
      <w:bookmarkEnd w:id="8"/>
      <w:r w:rsidRPr="006414E4">
        <w:rPr>
          <w:sz w:val="32"/>
          <w:szCs w:val="32"/>
          <w:rtl/>
        </w:rPr>
        <w:t xml:space="preserve">حيث إن الوقائع سبق أن أحاط بها الحكم الصادر من هذه المحكمة بتاريخ 2014/5/13 فتحيل إليه في بيانها، وهي توجز في أن المستأنف أقام على المستأنف ضده الأول بصفته الدعوى رقم 696 لسنة 2009 تجاري مدني كلي بطلب الحكم- وفقاً لطلباته الختامية </w:t>
      </w:r>
      <w:r w:rsidRPr="006414E4">
        <w:rPr>
          <w:sz w:val="32"/>
          <w:szCs w:val="32"/>
        </w:rPr>
        <w:t xml:space="preserve">– </w:t>
      </w:r>
      <w:r w:rsidRPr="006414E4">
        <w:rPr>
          <w:sz w:val="32"/>
          <w:szCs w:val="32"/>
          <w:rtl/>
        </w:rPr>
        <w:t>بإلزامه بأن يسلمه الشقة موضوع النزاع والمبينة بالعقد المؤرخ 2006/4/16 مع إلزامه والمستأنف ضده الثالث بأن يؤديا له مبلغ 5001 د.ك على سبيل التعويض المؤقت، على سند من القول</w:t>
      </w:r>
      <w:r w:rsidRPr="006414E4">
        <w:rPr>
          <w:sz w:val="32"/>
          <w:szCs w:val="32"/>
        </w:rPr>
        <w:t xml:space="preserve">- </w:t>
      </w:r>
      <w:r w:rsidRPr="006414E4">
        <w:rPr>
          <w:sz w:val="32"/>
          <w:szCs w:val="32"/>
          <w:rtl/>
        </w:rPr>
        <w:t xml:space="preserve">أنه تعاقد مع المستأنف ضده الأول بصفته على شراء الشقة موضوع النزاع بمبلغ </w:t>
      </w:r>
      <w:r w:rsidRPr="006414E4">
        <w:rPr>
          <w:sz w:val="32"/>
          <w:szCs w:val="32"/>
        </w:rPr>
        <w:t xml:space="preserve">27500 </w:t>
      </w:r>
      <w:r w:rsidRPr="006414E4">
        <w:rPr>
          <w:sz w:val="32"/>
          <w:szCs w:val="32"/>
          <w:rtl/>
        </w:rPr>
        <w:t xml:space="preserve">د.ك وتحرر عن ذلك عقد بيع إبتدائي سالف الذكر إلا أن الأخير إمتنع عن التسليم، ومن ثم أقام الدعوى، ندبت المحكمة خبيراً وبعد أن أودع تقريره حكمت برفضها إستأنف المستأنف هذا الحكم بالاستئناف رقم 3504 لسنة 2006 تجاري وبجلسة </w:t>
      </w:r>
      <w:r w:rsidRPr="006414E4">
        <w:rPr>
          <w:sz w:val="32"/>
          <w:szCs w:val="32"/>
        </w:rPr>
        <w:t xml:space="preserve">2010/2/17 </w:t>
      </w:r>
      <w:r w:rsidRPr="006414E4">
        <w:rPr>
          <w:sz w:val="32"/>
          <w:szCs w:val="32"/>
          <w:rtl/>
        </w:rPr>
        <w:t xml:space="preserve">قضت المحكمة بتأييد الحكم المستأنف، طعن المستأنف في هذا الحكم </w:t>
      </w:r>
      <w:r w:rsidRPr="006414E4">
        <w:rPr>
          <w:sz w:val="32"/>
          <w:szCs w:val="32"/>
          <w:rtl/>
        </w:rPr>
        <w:lastRenderedPageBreak/>
        <w:t>بطريق التمييز بالطعن رقم 596 لسنة 2010 تجاري وبتاريخ 2014/5/13 قضت المحكمة بتمييز الحكم المطعون فيه وقبل الفصل في موضوع الاستئناف رقم 3504 لسنة2006 تجاري بتحديد جلسة 2014/6/10 لنظره ليقدم المستأنف ضده الأول أصل الإقرار المنسوب للمستأنف والمؤرخ 2009/5/20 وبالجلسة المحددة سالفة الذكر حضر وكيل المستأنف ضده الأول وقدم أصل الإقرار المنسوب للمستأنف والمؤرخ 2009/5/20 والمتضمن تنازل وفسخ الأخير عقد شراء الشقة موضوع النزاع ولم يحضر المستأنف وقررت المحكمة حجز الإستئناف ليصدر فيه الحكم بجلسة اليوم</w:t>
      </w:r>
      <w:r w:rsidRPr="006414E4">
        <w:rPr>
          <w:sz w:val="32"/>
          <w:szCs w:val="32"/>
        </w:rPr>
        <w:t xml:space="preserve">. </w:t>
      </w:r>
    </w:p>
    <w:p w:rsidR="006414E4" w:rsidRPr="006414E4" w:rsidRDefault="006414E4" w:rsidP="006414E4">
      <w:pPr>
        <w:rPr>
          <w:sz w:val="32"/>
          <w:szCs w:val="32"/>
        </w:rPr>
      </w:pPr>
      <w:bookmarkStart w:id="9" w:name="Anchor190"/>
      <w:bookmarkEnd w:id="9"/>
      <w:r w:rsidRPr="006414E4">
        <w:rPr>
          <w:sz w:val="32"/>
          <w:szCs w:val="32"/>
          <w:rtl/>
        </w:rPr>
        <w:t xml:space="preserve">وحيث أنه عن موضوع الإستئناف فإنه </w:t>
      </w:r>
      <w:bookmarkStart w:id="10" w:name="TM2014_596_1"/>
      <w:bookmarkEnd w:id="10"/>
      <w:r w:rsidRPr="006414E4">
        <w:rPr>
          <w:b/>
          <w:bCs/>
          <w:sz w:val="32"/>
          <w:szCs w:val="32"/>
          <w:rtl/>
        </w:rPr>
        <w:t>من المقرر أن المادة 13 من قانون الإثبات إذ تقضي باعتبار الورقة العرفية صادرة ممن وقعها ما لم ينكر صراحة ما هو منسوب إليه من خط أو إمضاء أو أختم أو بصمة فإنها تكون قد جعلت الورقة العرفية حجة بما دون فيها على من نسب إليه توقيعه عليها إلا إذا أنكر الخط أو الإمضاء أو الختم أو البصمة الموقع بها وكان إنكاره صريحاً فإن هو إقتصر على إنكار المدون في الورقة كله أو بعضه فإنه لا يكون قد أنكر الورقة العرفية بالمعنى المقصود في المادة المشار إليها،</w:t>
      </w:r>
      <w:r w:rsidRPr="006414E4">
        <w:rPr>
          <w:sz w:val="32"/>
          <w:szCs w:val="32"/>
          <w:rtl/>
        </w:rPr>
        <w:t xml:space="preserve"> </w:t>
      </w:r>
    </w:p>
    <w:p w:rsidR="006414E4" w:rsidRPr="006414E4" w:rsidRDefault="006414E4" w:rsidP="006414E4">
      <w:pPr>
        <w:rPr>
          <w:sz w:val="32"/>
          <w:szCs w:val="32"/>
        </w:rPr>
      </w:pPr>
      <w:bookmarkStart w:id="11" w:name="Anchor236"/>
      <w:bookmarkStart w:id="12" w:name="TM2014_596_2"/>
      <w:bookmarkEnd w:id="11"/>
      <w:bookmarkEnd w:id="12"/>
      <w:r w:rsidRPr="006414E4">
        <w:rPr>
          <w:b/>
          <w:bCs/>
          <w:sz w:val="32"/>
          <w:szCs w:val="32"/>
          <w:rtl/>
        </w:rPr>
        <w:t>وأن الورقة العرفية تستمد حجيتها من الإمضاء الموقع عليها وهى فهذه المثابة تعتبر حجة بما ورد فيها على صاحب التوقيع وأنه أرتضى مضمونها والتزم به بحيث لا يمكنه التحلل مما تسجله عليه إلا إذا بين كيف وصل إمضاؤه الصحيح إلى الورقة التي عليها توقيعه وأقام الدليل على صحة ما يدعيه</w:t>
      </w:r>
      <w:r w:rsidRPr="006414E4">
        <w:rPr>
          <w:b/>
          <w:bCs/>
          <w:sz w:val="32"/>
          <w:szCs w:val="32"/>
        </w:rPr>
        <w:t xml:space="preserve">. </w:t>
      </w:r>
    </w:p>
    <w:p w:rsidR="006414E4" w:rsidRPr="006414E4" w:rsidRDefault="006414E4" w:rsidP="006414E4">
      <w:pPr>
        <w:rPr>
          <w:sz w:val="32"/>
          <w:szCs w:val="32"/>
        </w:rPr>
      </w:pPr>
      <w:bookmarkStart w:id="13" w:name="Anchor262"/>
      <w:bookmarkStart w:id="14" w:name="TM2014_596_3"/>
      <w:bookmarkEnd w:id="13"/>
      <w:bookmarkEnd w:id="14"/>
      <w:r w:rsidRPr="006414E4">
        <w:rPr>
          <w:b/>
          <w:bCs/>
          <w:sz w:val="32"/>
          <w:szCs w:val="32"/>
          <w:rtl/>
        </w:rPr>
        <w:t xml:space="preserve">لما كان ذلك وكان الثابت من الأوراق أن الشركة المستأنف ضدها الأولى قد حضرت بجلسة </w:t>
      </w:r>
      <w:r w:rsidRPr="006414E4">
        <w:rPr>
          <w:b/>
          <w:bCs/>
          <w:sz w:val="32"/>
          <w:szCs w:val="32"/>
        </w:rPr>
        <w:t xml:space="preserve">2014/6/10 </w:t>
      </w:r>
      <w:r w:rsidRPr="006414E4">
        <w:rPr>
          <w:b/>
          <w:bCs/>
          <w:sz w:val="32"/>
          <w:szCs w:val="32"/>
          <w:rtl/>
        </w:rPr>
        <w:t>وقدمت حافظة مستندات طويت على أصل الإقرار المنسوب للمستأنف والمؤرخ في 2009/5/20 والمتضمن ما يفيد إستلام الأخير لحقوقه وما سدده وفسخ العقد المؤرخ في 2006/4/16 وتنازله عن جميع مستحقاته المالية والمعنوية وأن للشركة المستأنف عليها الأولى كافة سلطات الملكية على الشقة مرضوع النزاع ومزيل بتوقيع منسوب إلى المستأنف وأن الأخير لم يحضر ولم ينكر أصل المحرر أو ينعي عليه بثمة مطعن، ومن ثم فإن المحكمة ترى أنه لا يحق للمستأنف معاودة مطالبة الشركة المستأنفة عليها الأولى بشئ من تلك الحقوق المطالب بها في دعواه، ومن ثم يكون معه هذا الإستئناف على غير أساس واجب الرفض ويتعين بالتالي تأييد الحكم المستأنف وألزمت المستأنف المصروفات عملاً بنص المادتين 119، 147 من قانون المرافعات</w:t>
      </w:r>
      <w:r w:rsidRPr="006414E4">
        <w:rPr>
          <w:b/>
          <w:bCs/>
          <w:sz w:val="32"/>
          <w:szCs w:val="32"/>
        </w:rPr>
        <w:t xml:space="preserve">. </w:t>
      </w:r>
    </w:p>
    <w:p w:rsidR="006414E4" w:rsidRPr="006414E4" w:rsidRDefault="006414E4" w:rsidP="006414E4">
      <w:pPr>
        <w:rPr>
          <w:sz w:val="32"/>
          <w:szCs w:val="32"/>
        </w:rPr>
      </w:pPr>
      <w:bookmarkStart w:id="15" w:name="Anchor332"/>
      <w:bookmarkEnd w:id="15"/>
      <w:r w:rsidRPr="006414E4">
        <w:rPr>
          <w:sz w:val="32"/>
          <w:szCs w:val="32"/>
          <w:rtl/>
        </w:rPr>
        <w:t>لذلك</w:t>
      </w:r>
    </w:p>
    <w:p w:rsidR="006414E4" w:rsidRPr="006414E4" w:rsidRDefault="006414E4" w:rsidP="006414E4">
      <w:pPr>
        <w:rPr>
          <w:sz w:val="32"/>
          <w:szCs w:val="32"/>
        </w:rPr>
      </w:pPr>
      <w:bookmarkStart w:id="16" w:name="Anchor333"/>
      <w:bookmarkEnd w:id="16"/>
      <w:r w:rsidRPr="006414E4">
        <w:rPr>
          <w:sz w:val="32"/>
          <w:szCs w:val="32"/>
          <w:rtl/>
        </w:rPr>
        <w:t>حكمت المحكمة:- في موضوع الإستئناف رقم 3504 لسنة 2006 تجاري برفضه وبتأييد الحكم المستأنف وألزمت المستأنف بالمصروفات ومبلغ عشرين ديناراً مقابل أتعاب المحاماة</w:t>
      </w:r>
      <w:r w:rsidRPr="006414E4">
        <w:rPr>
          <w:sz w:val="32"/>
          <w:szCs w:val="32"/>
        </w:rPr>
        <w:t xml:space="preserve">. </w:t>
      </w:r>
    </w:p>
    <w:p w:rsidR="006414E4" w:rsidRPr="006414E4" w:rsidRDefault="006414E4" w:rsidP="006414E4">
      <w:pPr>
        <w:rPr>
          <w:sz w:val="32"/>
          <w:szCs w:val="32"/>
        </w:rPr>
      </w:pPr>
    </w:p>
    <w:p w:rsidR="006414E4" w:rsidRPr="006414E4" w:rsidRDefault="006414E4" w:rsidP="006414E4">
      <w:pPr>
        <w:rPr>
          <w:sz w:val="32"/>
          <w:szCs w:val="32"/>
        </w:rPr>
      </w:pPr>
      <w:bookmarkStart w:id="17" w:name="Anchor349"/>
      <w:bookmarkEnd w:id="17"/>
      <w:r w:rsidRPr="006414E4">
        <w:rPr>
          <w:sz w:val="32"/>
          <w:szCs w:val="32"/>
        </w:rPr>
        <w:t>* * *</w:t>
      </w:r>
    </w:p>
    <w:p w:rsidR="008C2BA0" w:rsidRPr="006414E4" w:rsidRDefault="008C2BA0">
      <w:pPr>
        <w:rPr>
          <w:sz w:val="32"/>
          <w:szCs w:val="32"/>
        </w:rPr>
      </w:pPr>
    </w:p>
    <w:sectPr w:rsidR="008C2BA0" w:rsidRPr="006414E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1B"/>
    <w:rsid w:val="0003272B"/>
    <w:rsid w:val="0012771B"/>
    <w:rsid w:val="006414E4"/>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4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7833">
      <w:bodyDiv w:val="1"/>
      <w:marLeft w:val="0"/>
      <w:marRight w:val="0"/>
      <w:marTop w:val="0"/>
      <w:marBottom w:val="0"/>
      <w:divBdr>
        <w:top w:val="none" w:sz="0" w:space="0" w:color="auto"/>
        <w:left w:val="none" w:sz="0" w:space="0" w:color="auto"/>
        <w:bottom w:val="none" w:sz="0" w:space="0" w:color="auto"/>
        <w:right w:val="none" w:sz="0" w:space="0" w:color="auto"/>
      </w:divBdr>
      <w:divsChild>
        <w:div w:id="2129278087">
          <w:marLeft w:val="0"/>
          <w:marRight w:val="0"/>
          <w:marTop w:val="0"/>
          <w:marBottom w:val="0"/>
          <w:divBdr>
            <w:top w:val="none" w:sz="0" w:space="0" w:color="auto"/>
            <w:left w:val="none" w:sz="0" w:space="0" w:color="auto"/>
            <w:bottom w:val="none" w:sz="0" w:space="0" w:color="auto"/>
            <w:right w:val="none" w:sz="0" w:space="0" w:color="auto"/>
          </w:divBdr>
        </w:div>
        <w:div w:id="597905660">
          <w:marLeft w:val="0"/>
          <w:marRight w:val="0"/>
          <w:marTop w:val="0"/>
          <w:marBottom w:val="0"/>
          <w:divBdr>
            <w:top w:val="none" w:sz="0" w:space="0" w:color="auto"/>
            <w:left w:val="none" w:sz="0" w:space="0" w:color="auto"/>
            <w:bottom w:val="none" w:sz="0" w:space="0" w:color="auto"/>
            <w:right w:val="none" w:sz="0" w:space="0" w:color="auto"/>
          </w:divBdr>
        </w:div>
        <w:div w:id="1895850537">
          <w:marLeft w:val="0"/>
          <w:marRight w:val="0"/>
          <w:marTop w:val="0"/>
          <w:marBottom w:val="0"/>
          <w:divBdr>
            <w:top w:val="none" w:sz="0" w:space="0" w:color="auto"/>
            <w:left w:val="none" w:sz="0" w:space="0" w:color="auto"/>
            <w:bottom w:val="none" w:sz="0" w:space="0" w:color="auto"/>
            <w:right w:val="none" w:sz="0" w:space="0" w:color="auto"/>
          </w:divBdr>
        </w:div>
        <w:div w:id="1998918176">
          <w:marLeft w:val="0"/>
          <w:marRight w:val="0"/>
          <w:marTop w:val="0"/>
          <w:marBottom w:val="0"/>
          <w:divBdr>
            <w:top w:val="none" w:sz="0" w:space="0" w:color="auto"/>
            <w:left w:val="none" w:sz="0" w:space="0" w:color="auto"/>
            <w:bottom w:val="none" w:sz="0" w:space="0" w:color="auto"/>
            <w:right w:val="none" w:sz="0" w:space="0" w:color="auto"/>
          </w:divBdr>
        </w:div>
        <w:div w:id="1639262343">
          <w:marLeft w:val="0"/>
          <w:marRight w:val="0"/>
          <w:marTop w:val="0"/>
          <w:marBottom w:val="0"/>
          <w:divBdr>
            <w:top w:val="none" w:sz="0" w:space="0" w:color="auto"/>
            <w:left w:val="none" w:sz="0" w:space="0" w:color="auto"/>
            <w:bottom w:val="none" w:sz="0" w:space="0" w:color="auto"/>
            <w:right w:val="none" w:sz="0" w:space="0" w:color="auto"/>
          </w:divBdr>
        </w:div>
        <w:div w:id="1536623837">
          <w:marLeft w:val="0"/>
          <w:marRight w:val="0"/>
          <w:marTop w:val="0"/>
          <w:marBottom w:val="0"/>
          <w:divBdr>
            <w:top w:val="none" w:sz="0" w:space="0" w:color="auto"/>
            <w:left w:val="none" w:sz="0" w:space="0" w:color="auto"/>
            <w:bottom w:val="none" w:sz="0" w:space="0" w:color="auto"/>
            <w:right w:val="none" w:sz="0" w:space="0" w:color="auto"/>
          </w:divBdr>
        </w:div>
        <w:div w:id="514999032">
          <w:marLeft w:val="0"/>
          <w:marRight w:val="0"/>
          <w:marTop w:val="0"/>
          <w:marBottom w:val="0"/>
          <w:divBdr>
            <w:top w:val="none" w:sz="0" w:space="0" w:color="auto"/>
            <w:left w:val="none" w:sz="0" w:space="0" w:color="auto"/>
            <w:bottom w:val="none" w:sz="0" w:space="0" w:color="auto"/>
            <w:right w:val="none" w:sz="0" w:space="0" w:color="auto"/>
          </w:divBdr>
        </w:div>
        <w:div w:id="858005396">
          <w:marLeft w:val="0"/>
          <w:marRight w:val="0"/>
          <w:marTop w:val="0"/>
          <w:marBottom w:val="0"/>
          <w:divBdr>
            <w:top w:val="none" w:sz="0" w:space="0" w:color="auto"/>
            <w:left w:val="none" w:sz="0" w:space="0" w:color="auto"/>
            <w:bottom w:val="none" w:sz="0" w:space="0" w:color="auto"/>
            <w:right w:val="none" w:sz="0" w:space="0" w:color="auto"/>
          </w:divBdr>
        </w:div>
        <w:div w:id="356853892">
          <w:marLeft w:val="0"/>
          <w:marRight w:val="0"/>
          <w:marTop w:val="0"/>
          <w:marBottom w:val="0"/>
          <w:divBdr>
            <w:top w:val="none" w:sz="0" w:space="0" w:color="auto"/>
            <w:left w:val="none" w:sz="0" w:space="0" w:color="auto"/>
            <w:bottom w:val="none" w:sz="0" w:space="0" w:color="auto"/>
            <w:right w:val="none" w:sz="0" w:space="0" w:color="auto"/>
          </w:divBdr>
        </w:div>
        <w:div w:id="1950579708">
          <w:marLeft w:val="0"/>
          <w:marRight w:val="0"/>
          <w:marTop w:val="0"/>
          <w:marBottom w:val="0"/>
          <w:divBdr>
            <w:top w:val="none" w:sz="0" w:space="0" w:color="auto"/>
            <w:left w:val="none" w:sz="0" w:space="0" w:color="auto"/>
            <w:bottom w:val="none" w:sz="0" w:space="0" w:color="auto"/>
            <w:right w:val="none" w:sz="0" w:space="0" w:color="auto"/>
          </w:divBdr>
        </w:div>
        <w:div w:id="213778627">
          <w:marLeft w:val="0"/>
          <w:marRight w:val="0"/>
          <w:marTop w:val="0"/>
          <w:marBottom w:val="0"/>
          <w:divBdr>
            <w:top w:val="none" w:sz="0" w:space="0" w:color="auto"/>
            <w:left w:val="none" w:sz="0" w:space="0" w:color="auto"/>
            <w:bottom w:val="none" w:sz="0" w:space="0" w:color="auto"/>
            <w:right w:val="none" w:sz="0" w:space="0" w:color="auto"/>
          </w:divBdr>
        </w:div>
        <w:div w:id="1314332054">
          <w:marLeft w:val="0"/>
          <w:marRight w:val="0"/>
          <w:marTop w:val="0"/>
          <w:marBottom w:val="0"/>
          <w:divBdr>
            <w:top w:val="none" w:sz="0" w:space="0" w:color="auto"/>
            <w:left w:val="none" w:sz="0" w:space="0" w:color="auto"/>
            <w:bottom w:val="none" w:sz="0" w:space="0" w:color="auto"/>
            <w:right w:val="none" w:sz="0" w:space="0" w:color="auto"/>
          </w:divBdr>
        </w:div>
        <w:div w:id="387413881">
          <w:marLeft w:val="0"/>
          <w:marRight w:val="0"/>
          <w:marTop w:val="0"/>
          <w:marBottom w:val="0"/>
          <w:divBdr>
            <w:top w:val="none" w:sz="0" w:space="0" w:color="auto"/>
            <w:left w:val="none" w:sz="0" w:space="0" w:color="auto"/>
            <w:bottom w:val="none" w:sz="0" w:space="0" w:color="auto"/>
            <w:right w:val="none" w:sz="0" w:space="0" w:color="auto"/>
          </w:divBdr>
        </w:div>
        <w:div w:id="434860765">
          <w:marLeft w:val="0"/>
          <w:marRight w:val="0"/>
          <w:marTop w:val="0"/>
          <w:marBottom w:val="0"/>
          <w:divBdr>
            <w:top w:val="none" w:sz="0" w:space="0" w:color="auto"/>
            <w:left w:val="none" w:sz="0" w:space="0" w:color="auto"/>
            <w:bottom w:val="none" w:sz="0" w:space="0" w:color="auto"/>
            <w:right w:val="none" w:sz="0" w:space="0" w:color="auto"/>
          </w:divBdr>
        </w:div>
      </w:divsChild>
    </w:div>
    <w:div w:id="1888640408">
      <w:bodyDiv w:val="1"/>
      <w:marLeft w:val="0"/>
      <w:marRight w:val="0"/>
      <w:marTop w:val="0"/>
      <w:marBottom w:val="0"/>
      <w:divBdr>
        <w:top w:val="none" w:sz="0" w:space="0" w:color="auto"/>
        <w:left w:val="none" w:sz="0" w:space="0" w:color="auto"/>
        <w:bottom w:val="none" w:sz="0" w:space="0" w:color="auto"/>
        <w:right w:val="none" w:sz="0" w:space="0" w:color="auto"/>
      </w:divBdr>
      <w:divsChild>
        <w:div w:id="1132134586">
          <w:marLeft w:val="0"/>
          <w:marRight w:val="0"/>
          <w:marTop w:val="0"/>
          <w:marBottom w:val="0"/>
          <w:divBdr>
            <w:top w:val="none" w:sz="0" w:space="0" w:color="auto"/>
            <w:left w:val="none" w:sz="0" w:space="0" w:color="auto"/>
            <w:bottom w:val="none" w:sz="0" w:space="0" w:color="auto"/>
            <w:right w:val="none" w:sz="0" w:space="0" w:color="auto"/>
          </w:divBdr>
        </w:div>
        <w:div w:id="1456212667">
          <w:marLeft w:val="0"/>
          <w:marRight w:val="0"/>
          <w:marTop w:val="0"/>
          <w:marBottom w:val="0"/>
          <w:divBdr>
            <w:top w:val="none" w:sz="0" w:space="0" w:color="auto"/>
            <w:left w:val="none" w:sz="0" w:space="0" w:color="auto"/>
            <w:bottom w:val="none" w:sz="0" w:space="0" w:color="auto"/>
            <w:right w:val="none" w:sz="0" w:space="0" w:color="auto"/>
          </w:divBdr>
        </w:div>
        <w:div w:id="750926180">
          <w:marLeft w:val="0"/>
          <w:marRight w:val="0"/>
          <w:marTop w:val="0"/>
          <w:marBottom w:val="0"/>
          <w:divBdr>
            <w:top w:val="none" w:sz="0" w:space="0" w:color="auto"/>
            <w:left w:val="none" w:sz="0" w:space="0" w:color="auto"/>
            <w:bottom w:val="none" w:sz="0" w:space="0" w:color="auto"/>
            <w:right w:val="none" w:sz="0" w:space="0" w:color="auto"/>
          </w:divBdr>
        </w:div>
        <w:div w:id="999885284">
          <w:marLeft w:val="0"/>
          <w:marRight w:val="0"/>
          <w:marTop w:val="0"/>
          <w:marBottom w:val="0"/>
          <w:divBdr>
            <w:top w:val="none" w:sz="0" w:space="0" w:color="auto"/>
            <w:left w:val="none" w:sz="0" w:space="0" w:color="auto"/>
            <w:bottom w:val="none" w:sz="0" w:space="0" w:color="auto"/>
            <w:right w:val="none" w:sz="0" w:space="0" w:color="auto"/>
          </w:divBdr>
        </w:div>
        <w:div w:id="1794127288">
          <w:marLeft w:val="0"/>
          <w:marRight w:val="0"/>
          <w:marTop w:val="0"/>
          <w:marBottom w:val="0"/>
          <w:divBdr>
            <w:top w:val="none" w:sz="0" w:space="0" w:color="auto"/>
            <w:left w:val="none" w:sz="0" w:space="0" w:color="auto"/>
            <w:bottom w:val="none" w:sz="0" w:space="0" w:color="auto"/>
            <w:right w:val="none" w:sz="0" w:space="0" w:color="auto"/>
          </w:divBdr>
        </w:div>
        <w:div w:id="1744793154">
          <w:marLeft w:val="0"/>
          <w:marRight w:val="0"/>
          <w:marTop w:val="0"/>
          <w:marBottom w:val="0"/>
          <w:divBdr>
            <w:top w:val="none" w:sz="0" w:space="0" w:color="auto"/>
            <w:left w:val="none" w:sz="0" w:space="0" w:color="auto"/>
            <w:bottom w:val="none" w:sz="0" w:space="0" w:color="auto"/>
            <w:right w:val="none" w:sz="0" w:space="0" w:color="auto"/>
          </w:divBdr>
        </w:div>
        <w:div w:id="131484518">
          <w:marLeft w:val="0"/>
          <w:marRight w:val="0"/>
          <w:marTop w:val="0"/>
          <w:marBottom w:val="0"/>
          <w:divBdr>
            <w:top w:val="none" w:sz="0" w:space="0" w:color="auto"/>
            <w:left w:val="none" w:sz="0" w:space="0" w:color="auto"/>
            <w:bottom w:val="none" w:sz="0" w:space="0" w:color="auto"/>
            <w:right w:val="none" w:sz="0" w:space="0" w:color="auto"/>
          </w:divBdr>
        </w:div>
        <w:div w:id="469053679">
          <w:marLeft w:val="0"/>
          <w:marRight w:val="0"/>
          <w:marTop w:val="0"/>
          <w:marBottom w:val="0"/>
          <w:divBdr>
            <w:top w:val="none" w:sz="0" w:space="0" w:color="auto"/>
            <w:left w:val="none" w:sz="0" w:space="0" w:color="auto"/>
            <w:bottom w:val="none" w:sz="0" w:space="0" w:color="auto"/>
            <w:right w:val="none" w:sz="0" w:space="0" w:color="auto"/>
          </w:divBdr>
        </w:div>
        <w:div w:id="1763329531">
          <w:marLeft w:val="0"/>
          <w:marRight w:val="0"/>
          <w:marTop w:val="0"/>
          <w:marBottom w:val="0"/>
          <w:divBdr>
            <w:top w:val="none" w:sz="0" w:space="0" w:color="auto"/>
            <w:left w:val="none" w:sz="0" w:space="0" w:color="auto"/>
            <w:bottom w:val="none" w:sz="0" w:space="0" w:color="auto"/>
            <w:right w:val="none" w:sz="0" w:space="0" w:color="auto"/>
          </w:divBdr>
        </w:div>
        <w:div w:id="943073153">
          <w:marLeft w:val="0"/>
          <w:marRight w:val="0"/>
          <w:marTop w:val="0"/>
          <w:marBottom w:val="0"/>
          <w:divBdr>
            <w:top w:val="none" w:sz="0" w:space="0" w:color="auto"/>
            <w:left w:val="none" w:sz="0" w:space="0" w:color="auto"/>
            <w:bottom w:val="none" w:sz="0" w:space="0" w:color="auto"/>
            <w:right w:val="none" w:sz="0" w:space="0" w:color="auto"/>
          </w:divBdr>
        </w:div>
        <w:div w:id="180049877">
          <w:marLeft w:val="0"/>
          <w:marRight w:val="0"/>
          <w:marTop w:val="0"/>
          <w:marBottom w:val="0"/>
          <w:divBdr>
            <w:top w:val="none" w:sz="0" w:space="0" w:color="auto"/>
            <w:left w:val="none" w:sz="0" w:space="0" w:color="auto"/>
            <w:bottom w:val="none" w:sz="0" w:space="0" w:color="auto"/>
            <w:right w:val="none" w:sz="0" w:space="0" w:color="auto"/>
          </w:divBdr>
        </w:div>
        <w:div w:id="945967211">
          <w:marLeft w:val="0"/>
          <w:marRight w:val="0"/>
          <w:marTop w:val="0"/>
          <w:marBottom w:val="0"/>
          <w:divBdr>
            <w:top w:val="none" w:sz="0" w:space="0" w:color="auto"/>
            <w:left w:val="none" w:sz="0" w:space="0" w:color="auto"/>
            <w:bottom w:val="none" w:sz="0" w:space="0" w:color="auto"/>
            <w:right w:val="none" w:sz="0" w:space="0" w:color="auto"/>
          </w:divBdr>
        </w:div>
        <w:div w:id="1180196929">
          <w:marLeft w:val="0"/>
          <w:marRight w:val="0"/>
          <w:marTop w:val="0"/>
          <w:marBottom w:val="0"/>
          <w:divBdr>
            <w:top w:val="none" w:sz="0" w:space="0" w:color="auto"/>
            <w:left w:val="none" w:sz="0" w:space="0" w:color="auto"/>
            <w:bottom w:val="none" w:sz="0" w:space="0" w:color="auto"/>
            <w:right w:val="none" w:sz="0" w:space="0" w:color="auto"/>
          </w:divBdr>
        </w:div>
        <w:div w:id="138741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2020-04-26T11:47:00Z</dcterms:created>
  <dcterms:modified xsi:type="dcterms:W3CDTF">2020-04-26T11:47:00Z</dcterms:modified>
</cp:coreProperties>
</file>