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996" w:rsidRPr="00D97996" w:rsidRDefault="00D97996" w:rsidP="00D97996">
      <w:pPr>
        <w:jc w:val="center"/>
        <w:rPr>
          <w:sz w:val="32"/>
          <w:szCs w:val="32"/>
        </w:rPr>
      </w:pPr>
      <w:bookmarkStart w:id="0" w:name="Anchor1"/>
      <w:bookmarkEnd w:id="0"/>
      <w:r w:rsidRPr="00D97996">
        <w:rPr>
          <w:sz w:val="32"/>
          <w:szCs w:val="32"/>
          <w:rtl/>
        </w:rPr>
        <w:t>الطعن</w:t>
      </w:r>
      <w:bookmarkStart w:id="1" w:name="_GoBack"/>
      <w:bookmarkEnd w:id="1"/>
      <w:r w:rsidRPr="00D97996">
        <w:rPr>
          <w:sz w:val="32"/>
          <w:szCs w:val="32"/>
          <w:rtl/>
        </w:rPr>
        <w:t xml:space="preserve"> رقم </w:t>
      </w:r>
      <w:r w:rsidRPr="00D97996">
        <w:rPr>
          <w:sz w:val="32"/>
          <w:szCs w:val="32"/>
        </w:rPr>
        <w:t>557/2014</w:t>
      </w:r>
    </w:p>
    <w:p w:rsidR="00D97996" w:rsidRPr="00D97996" w:rsidRDefault="00D97996" w:rsidP="00D97996">
      <w:pPr>
        <w:rPr>
          <w:sz w:val="32"/>
          <w:szCs w:val="32"/>
        </w:rPr>
      </w:pPr>
      <w:bookmarkStart w:id="2" w:name="Anchor7"/>
      <w:bookmarkEnd w:id="2"/>
      <w:r w:rsidRPr="00D97996">
        <w:rPr>
          <w:sz w:val="32"/>
          <w:szCs w:val="32"/>
          <w:rtl/>
        </w:rPr>
        <w:t>هيئة المحكمة</w:t>
      </w:r>
      <w:r w:rsidRPr="00D97996">
        <w:rPr>
          <w:sz w:val="32"/>
          <w:szCs w:val="32"/>
        </w:rPr>
        <w:t xml:space="preserve">: </w:t>
      </w:r>
      <w:r w:rsidRPr="00D97996">
        <w:rPr>
          <w:sz w:val="32"/>
          <w:szCs w:val="32"/>
          <w:rtl/>
        </w:rPr>
        <w:t>برئاسة السيد المستشار عبدالعزيز الفهد وكيل المحكمة وعضوية السادة المستشارين يوسف العمران ومحمود التركاوي وعبدالرحمن مطاوع وعطيه النادي</w:t>
      </w:r>
    </w:p>
    <w:bookmarkStart w:id="3" w:name="Anchor25"/>
    <w:bookmarkEnd w:id="3"/>
    <w:p w:rsidR="00D97996" w:rsidRPr="00D97996" w:rsidRDefault="00D97996" w:rsidP="00D97996">
      <w:pPr>
        <w:rPr>
          <w:sz w:val="32"/>
          <w:szCs w:val="32"/>
        </w:rPr>
      </w:pPr>
      <w:r w:rsidRPr="00D97996">
        <w:rPr>
          <w:sz w:val="32"/>
          <w:szCs w:val="32"/>
        </w:rPr>
        <w:fldChar w:fldCharType="begin"/>
      </w:r>
      <w:r w:rsidRPr="00D97996">
        <w:rPr>
          <w:sz w:val="32"/>
          <w:szCs w:val="32"/>
        </w:rPr>
        <w:instrText xml:space="preserve"> HYPERLINK "http://www.law.gov.kw/KWT_CC-Ar/00_2014/00_%D8%A7%D9%84%D8%AF%D8%A7%D8%A6%D8%B1%D8%A9%20%D8%A7%D9%84%D8%AA%D8%AC%D8%A7%D8%B1%D9%8A%D8%A9/KWT-CC-Ar_2014-09-08_00557_Taan.html" \l "TM2014_557_1" </w:instrText>
      </w:r>
      <w:r w:rsidRPr="00D97996">
        <w:rPr>
          <w:sz w:val="32"/>
          <w:szCs w:val="32"/>
        </w:rPr>
        <w:fldChar w:fldCharType="separate"/>
      </w:r>
      <w:r w:rsidRPr="00D97996">
        <w:rPr>
          <w:rStyle w:val="Hyperlink"/>
          <w:sz w:val="32"/>
          <w:szCs w:val="32"/>
        </w:rPr>
        <w:t xml:space="preserve">1- </w:t>
      </w:r>
      <w:r w:rsidRPr="00D97996">
        <w:rPr>
          <w:rStyle w:val="Hyperlink"/>
          <w:sz w:val="32"/>
          <w:szCs w:val="32"/>
          <w:rtl/>
        </w:rPr>
        <w:t>ان تحري صفة الخصوم واستخلاص توافرها او انتفائها في الدعوى وتفسير العقود والوقوف على مدى اشتمال العقد على شروط جوهرية غير مألوفة في الإيجار العادي هو من الأمور الموضوعية التي تستقل محكمة الموضوع بتقديرها دون معقب متى اقامت قضاءها على اسباب سائغة لها اصلها الثابت بالأوراق</w:t>
      </w:r>
      <w:r w:rsidRPr="00D97996">
        <w:rPr>
          <w:rStyle w:val="Hyperlink"/>
          <w:sz w:val="32"/>
          <w:szCs w:val="32"/>
        </w:rPr>
        <w:t>.</w:t>
      </w:r>
      <w:r w:rsidRPr="00D97996">
        <w:rPr>
          <w:sz w:val="32"/>
          <w:szCs w:val="32"/>
        </w:rPr>
        <w:fldChar w:fldCharType="end"/>
      </w:r>
    </w:p>
    <w:bookmarkStart w:id="4" w:name="Anchor54"/>
    <w:bookmarkEnd w:id="4"/>
    <w:p w:rsidR="00D97996" w:rsidRPr="00D97996" w:rsidRDefault="00D97996" w:rsidP="00D97996">
      <w:pPr>
        <w:rPr>
          <w:sz w:val="32"/>
          <w:szCs w:val="32"/>
        </w:rPr>
      </w:pPr>
      <w:r w:rsidRPr="00D97996">
        <w:rPr>
          <w:sz w:val="32"/>
          <w:szCs w:val="32"/>
        </w:rPr>
        <w:fldChar w:fldCharType="begin"/>
      </w:r>
      <w:r w:rsidRPr="00D97996">
        <w:rPr>
          <w:sz w:val="32"/>
          <w:szCs w:val="32"/>
        </w:rPr>
        <w:instrText xml:space="preserve"> HYPERLINK "http://www.law.gov.kw/KWT_CC-Ar/00_2014/00_%D8%A7%D9%84%D8%AF%D8%A7%D8%A6%D8%B1%D8%A9%20%D8%A7%D9%84%D8%AA%D8%AC%D8%A7%D8%B1%D9%8A%D8%A9/KWT-CC-Ar_2014-09-08_00557_Taan.html" \l "TM2014_557_2" </w:instrText>
      </w:r>
      <w:r w:rsidRPr="00D97996">
        <w:rPr>
          <w:sz w:val="32"/>
          <w:szCs w:val="32"/>
        </w:rPr>
        <w:fldChar w:fldCharType="separate"/>
      </w:r>
      <w:r w:rsidRPr="00D97996">
        <w:rPr>
          <w:rStyle w:val="Hyperlink"/>
          <w:sz w:val="32"/>
          <w:szCs w:val="32"/>
        </w:rPr>
        <w:t xml:space="preserve">2- </w:t>
      </w:r>
      <w:r w:rsidRPr="00D97996">
        <w:rPr>
          <w:rStyle w:val="Hyperlink"/>
          <w:sz w:val="32"/>
          <w:szCs w:val="32"/>
          <w:rtl/>
        </w:rPr>
        <w:t>ان لمحكمة التمييز ان تعطي الوقائع الثابتة في الحكم المطعون فيه تكييفها القانوني الصحيح ما دامت لا تعتمد في هذا التكييف على غير ما حصلته محكمة الموضوع من هذه الوقائع</w:t>
      </w:r>
      <w:r w:rsidRPr="00D97996">
        <w:rPr>
          <w:rStyle w:val="Hyperlink"/>
          <w:sz w:val="32"/>
          <w:szCs w:val="32"/>
        </w:rPr>
        <w:t>.</w:t>
      </w:r>
      <w:r w:rsidRPr="00D97996">
        <w:rPr>
          <w:sz w:val="32"/>
          <w:szCs w:val="32"/>
        </w:rPr>
        <w:fldChar w:fldCharType="end"/>
      </w:r>
      <w:r w:rsidRPr="00D97996">
        <w:rPr>
          <w:sz w:val="32"/>
          <w:szCs w:val="32"/>
        </w:rPr>
        <w:br/>
      </w:r>
      <w:r w:rsidRPr="00D97996">
        <w:rPr>
          <w:sz w:val="32"/>
          <w:szCs w:val="32"/>
        </w:rPr>
        <w:br/>
      </w:r>
      <w:r w:rsidRPr="00D97996">
        <w:rPr>
          <w:sz w:val="32"/>
          <w:szCs w:val="32"/>
          <w:u w:val="single"/>
          <w:rtl/>
        </w:rPr>
        <w:t>ملاحظة</w:t>
      </w:r>
      <w:r w:rsidRPr="00D97996">
        <w:rPr>
          <w:sz w:val="32"/>
          <w:szCs w:val="32"/>
          <w:u w:val="single"/>
        </w:rPr>
        <w:t xml:space="preserve"> :</w:t>
      </w:r>
      <w:r w:rsidRPr="00D97996">
        <w:rPr>
          <w:sz w:val="32"/>
          <w:szCs w:val="32"/>
        </w:rPr>
        <w:br/>
      </w:r>
      <w:r w:rsidRPr="00D9799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97996" w:rsidRPr="00D97996" w:rsidRDefault="00D97996" w:rsidP="00D97996">
      <w:pPr>
        <w:rPr>
          <w:sz w:val="32"/>
          <w:szCs w:val="32"/>
        </w:rPr>
      </w:pPr>
      <w:bookmarkStart w:id="5" w:name="Anchor73"/>
      <w:bookmarkEnd w:id="5"/>
      <w:r w:rsidRPr="00D97996">
        <w:rPr>
          <w:b/>
          <w:bCs/>
          <w:sz w:val="32"/>
          <w:szCs w:val="32"/>
          <w:rtl/>
        </w:rPr>
        <w:t>المحكمة</w:t>
      </w:r>
    </w:p>
    <w:p w:rsidR="00D97996" w:rsidRPr="00D97996" w:rsidRDefault="00D97996" w:rsidP="00D97996">
      <w:pPr>
        <w:rPr>
          <w:sz w:val="32"/>
          <w:szCs w:val="32"/>
        </w:rPr>
      </w:pPr>
      <w:bookmarkStart w:id="6" w:name="Anchor74"/>
      <w:bookmarkEnd w:id="6"/>
      <w:r w:rsidRPr="00D97996">
        <w:rPr>
          <w:sz w:val="32"/>
          <w:szCs w:val="32"/>
          <w:rtl/>
        </w:rPr>
        <w:t>بعد الاطلاع على الأوراق، والمداولة</w:t>
      </w:r>
      <w:r w:rsidRPr="00D97996">
        <w:rPr>
          <w:sz w:val="32"/>
          <w:szCs w:val="32"/>
        </w:rPr>
        <w:t>.</w:t>
      </w:r>
    </w:p>
    <w:p w:rsidR="00D97996" w:rsidRPr="00D97996" w:rsidRDefault="00D97996" w:rsidP="00D97996">
      <w:pPr>
        <w:rPr>
          <w:sz w:val="32"/>
          <w:szCs w:val="32"/>
        </w:rPr>
      </w:pPr>
      <w:bookmarkStart w:id="7" w:name="Anchor78"/>
      <w:bookmarkEnd w:id="7"/>
      <w:r w:rsidRPr="00D97996">
        <w:rPr>
          <w:sz w:val="32"/>
          <w:szCs w:val="32"/>
          <w:rtl/>
        </w:rPr>
        <w:t xml:space="preserve">لما كان من المقرر </w:t>
      </w:r>
      <w:bookmarkStart w:id="8" w:name="TM2014_557_1"/>
      <w:bookmarkEnd w:id="8"/>
      <w:r w:rsidRPr="00D97996">
        <w:rPr>
          <w:b/>
          <w:bCs/>
          <w:sz w:val="32"/>
          <w:szCs w:val="32"/>
          <w:rtl/>
        </w:rPr>
        <w:t>أن تحري صفة الخصوم واستخلاص توافرها أو انتفائها في الدعوى، وتفسير العقود ، وتفسير مدى اشتمال العقد على شروط جوهرية غير مألوفة في الإيجار العادي، كل ذلك من الأمور الموضوعية التي تستقل بها محكمة الموضوع دون معقب عليها متى استندت إلي أسباب سائغة</w:t>
      </w:r>
      <w:r w:rsidRPr="00D97996">
        <w:rPr>
          <w:b/>
          <w:bCs/>
          <w:sz w:val="32"/>
          <w:szCs w:val="32"/>
        </w:rPr>
        <w:t xml:space="preserve">. </w:t>
      </w:r>
      <w:r w:rsidRPr="00D97996">
        <w:rPr>
          <w:sz w:val="32"/>
          <w:szCs w:val="32"/>
          <w:rtl/>
        </w:rPr>
        <w:t xml:space="preserve">ومن المقرر أيضاً </w:t>
      </w:r>
      <w:bookmarkStart w:id="9" w:name="TM2014_557_2"/>
      <w:bookmarkEnd w:id="9"/>
      <w:r w:rsidRPr="00D97996">
        <w:rPr>
          <w:b/>
          <w:bCs/>
          <w:sz w:val="32"/>
          <w:szCs w:val="32"/>
          <w:rtl/>
        </w:rPr>
        <w:t>أن لمحكمة التمييز أن تعطي الوقائع الثابتة في الحكم المطعون فيه تكييفها القانوني الصحيح ما دامت لا تعتمد في هذا التكييف على غير ما حصلته محكمة الموضوع من هذه الوقائع</w:t>
      </w:r>
      <w:r w:rsidRPr="00D97996">
        <w:rPr>
          <w:b/>
          <w:bCs/>
          <w:sz w:val="32"/>
          <w:szCs w:val="32"/>
        </w:rPr>
        <w:t xml:space="preserve">. </w:t>
      </w:r>
      <w:r w:rsidRPr="00D97996">
        <w:rPr>
          <w:sz w:val="32"/>
          <w:szCs w:val="32"/>
          <w:rtl/>
        </w:rPr>
        <w:t xml:space="preserve">وكان الوصف الصحيح لما استظهره الحكم المطعون فيه من عقد إدارة وتطوير وتشغيل وصيانة عقار سوق الوطيه المؤرخ </w:t>
      </w:r>
      <w:r w:rsidRPr="00D97996">
        <w:rPr>
          <w:sz w:val="32"/>
          <w:szCs w:val="32"/>
        </w:rPr>
        <w:t>2012/11/29</w:t>
      </w:r>
      <w:r w:rsidRPr="00D97996">
        <w:rPr>
          <w:sz w:val="32"/>
          <w:szCs w:val="32"/>
          <w:rtl/>
        </w:rPr>
        <w:t xml:space="preserve">، المقدم صورته من المطعون ضده الأول بصفته في أول درجة، بأن ارتباطه بالدولة بوصفها مالكة العقار يقوم على حق الانتفاع بعنصريه الاستعمال والاستغلال، وحدد ضوابط ممارسته. وذلك لأجل محدد نظير عوض مالي وكانت الدعوى الراهنة تركز في جوهرها على حق من الحقوق التي يتضمنها حق الانتفاع بما يكون له </w:t>
      </w:r>
      <w:r w:rsidRPr="00D97996">
        <w:rPr>
          <w:sz w:val="32"/>
          <w:szCs w:val="32"/>
          <w:rtl/>
        </w:rPr>
        <w:lastRenderedPageBreak/>
        <w:t xml:space="preserve">باعتباره منتفعاً كامل الصفة في مباشرتها، سيما أنه أخطر الطاعن بإنذار رسمي معلن إليه في </w:t>
      </w:r>
      <w:r w:rsidRPr="00D97996">
        <w:rPr>
          <w:sz w:val="32"/>
          <w:szCs w:val="32"/>
        </w:rPr>
        <w:t xml:space="preserve">2013/2/14 </w:t>
      </w:r>
      <w:r w:rsidRPr="00D97996">
        <w:rPr>
          <w:sz w:val="32"/>
          <w:szCs w:val="32"/>
          <w:rtl/>
        </w:rPr>
        <w:t xml:space="preserve">بأنه قد حل بموجب حق الانتفاع محل المالك في استثمار العقار، ووكده بذات الاجراء في </w:t>
      </w:r>
      <w:r w:rsidRPr="00D97996">
        <w:rPr>
          <w:sz w:val="32"/>
          <w:szCs w:val="32"/>
        </w:rPr>
        <w:t xml:space="preserve">2013/2/18. </w:t>
      </w:r>
      <w:r w:rsidRPr="00D97996">
        <w:rPr>
          <w:sz w:val="32"/>
          <w:szCs w:val="32"/>
          <w:rtl/>
        </w:rPr>
        <w:t>وكان الحكم المطعون فيه قد أقام قضاءه برفض الدفع المبدى من الطاعن بعدم اختصاص الدائرة التجارية بنظر النزاع، لما تضمنه العقد شروطاً استئنافية غير مألوفة في عقد الايجار العادي، تتصل بإلزام الأخير بوصفه مستأجراً التأمين على ممتلكاته في المأجور، وتحديد ساعات العمل به</w:t>
      </w:r>
      <w:r w:rsidRPr="00D97996">
        <w:rPr>
          <w:sz w:val="32"/>
          <w:szCs w:val="32"/>
        </w:rPr>
        <w:t xml:space="preserve">. </w:t>
      </w:r>
      <w:r w:rsidRPr="00D97996">
        <w:rPr>
          <w:sz w:val="32"/>
          <w:szCs w:val="32"/>
          <w:rtl/>
        </w:rPr>
        <w:t>الأمر الذي يخرج المنازعة عن نطاق تطبيق أحكام قانون إيجار العقارات واختصاص دائرة الإيجارات بها. وكان ما خلص إليه الحكم المطعون فيه سائغاً ويرتد إلي أصل ثابت بالأوراق، فلا سبيل إلي الجدل في ذلك لدى محكمة التمييز لتعلقه بفهم محكمة الموضوع لواقع الدعوى</w:t>
      </w:r>
      <w:r w:rsidRPr="00D97996">
        <w:rPr>
          <w:sz w:val="32"/>
          <w:szCs w:val="32"/>
        </w:rPr>
        <w:t xml:space="preserve">. </w:t>
      </w:r>
      <w:r w:rsidRPr="00D97996">
        <w:rPr>
          <w:sz w:val="32"/>
          <w:szCs w:val="32"/>
          <w:rtl/>
        </w:rPr>
        <w:t>وكانت أوراق الدعوى خالية مما يدل على أن الطاعن قد تمسك بدفاع أمام محكمة الموضوع في شأن بطلان التنبيه بعدم تمديد عقد الإيجار موضوع النزاع بعد انتهاء أمده، المؤسس على توجيه التنبيه إلي موطنه السابق، فهو منه دفاع جديد لا يقبل أثارته الأول مره أمام هذه المحكمة</w:t>
      </w:r>
      <w:r w:rsidRPr="00D97996">
        <w:rPr>
          <w:sz w:val="32"/>
          <w:szCs w:val="32"/>
        </w:rPr>
        <w:t xml:space="preserve">. </w:t>
      </w:r>
      <w:r w:rsidRPr="00D97996">
        <w:rPr>
          <w:sz w:val="32"/>
          <w:szCs w:val="32"/>
          <w:rtl/>
        </w:rPr>
        <w:t>ويضحى الطعن برمته غير مقبول اعمالاً لحكم المادتين 152 ، 154/5 من قانون المرافعات المدنية والتجارية</w:t>
      </w:r>
      <w:r w:rsidRPr="00D97996">
        <w:rPr>
          <w:sz w:val="32"/>
          <w:szCs w:val="32"/>
        </w:rPr>
        <w:t>.</w:t>
      </w:r>
    </w:p>
    <w:p w:rsidR="00D97996" w:rsidRPr="00D97996" w:rsidRDefault="00D97996" w:rsidP="00D97996">
      <w:pPr>
        <w:rPr>
          <w:sz w:val="32"/>
          <w:szCs w:val="32"/>
        </w:rPr>
      </w:pPr>
      <w:bookmarkStart w:id="10" w:name="Anchor267"/>
      <w:bookmarkEnd w:id="10"/>
      <w:r w:rsidRPr="00D97996">
        <w:rPr>
          <w:sz w:val="32"/>
          <w:szCs w:val="32"/>
          <w:rtl/>
        </w:rPr>
        <w:t>لـذلـك</w:t>
      </w:r>
    </w:p>
    <w:p w:rsidR="00D97996" w:rsidRPr="00D97996" w:rsidRDefault="00D97996" w:rsidP="00D97996">
      <w:pPr>
        <w:rPr>
          <w:sz w:val="32"/>
          <w:szCs w:val="32"/>
        </w:rPr>
      </w:pPr>
      <w:bookmarkStart w:id="11" w:name="Anchor268"/>
      <w:bookmarkEnd w:id="11"/>
      <w:r w:rsidRPr="00D97996">
        <w:rPr>
          <w:sz w:val="32"/>
          <w:szCs w:val="32"/>
          <w:rtl/>
        </w:rPr>
        <w:t xml:space="preserve">قررت المحكمة </w:t>
      </w:r>
      <w:r w:rsidRPr="00D97996">
        <w:rPr>
          <w:sz w:val="32"/>
          <w:szCs w:val="32"/>
        </w:rPr>
        <w:t xml:space="preserve">– </w:t>
      </w:r>
      <w:r w:rsidRPr="00D97996">
        <w:rPr>
          <w:sz w:val="32"/>
          <w:szCs w:val="32"/>
          <w:rtl/>
        </w:rPr>
        <w:t>في غرفة المشورة</w:t>
      </w:r>
      <w:r w:rsidRPr="00D97996">
        <w:rPr>
          <w:sz w:val="32"/>
          <w:szCs w:val="32"/>
        </w:rPr>
        <w:t xml:space="preserve">- </w:t>
      </w:r>
      <w:r w:rsidRPr="00D97996">
        <w:rPr>
          <w:sz w:val="32"/>
          <w:szCs w:val="32"/>
          <w:rtl/>
        </w:rPr>
        <w:t>عدم قبول الطعن. وألزمت الطاعن المصروفات ومبلغ عشرين ديناراً مقابل أتعاب المحاماة، مع مصادرة الكفالة</w:t>
      </w:r>
      <w:r w:rsidRPr="00D97996">
        <w:rPr>
          <w:sz w:val="32"/>
          <w:szCs w:val="32"/>
        </w:rPr>
        <w:t>.</w:t>
      </w:r>
    </w:p>
    <w:p w:rsidR="00D97996" w:rsidRPr="00D97996" w:rsidRDefault="00D97996" w:rsidP="00D97996">
      <w:pPr>
        <w:rPr>
          <w:sz w:val="32"/>
          <w:szCs w:val="32"/>
        </w:rPr>
      </w:pPr>
    </w:p>
    <w:p w:rsidR="00D97996" w:rsidRPr="00D97996" w:rsidRDefault="00D97996" w:rsidP="00D97996">
      <w:pPr>
        <w:rPr>
          <w:sz w:val="32"/>
          <w:szCs w:val="32"/>
        </w:rPr>
      </w:pPr>
      <w:bookmarkStart w:id="12" w:name="Anchor283"/>
      <w:bookmarkEnd w:id="12"/>
      <w:r w:rsidRPr="00D97996">
        <w:rPr>
          <w:sz w:val="32"/>
          <w:szCs w:val="32"/>
        </w:rPr>
        <w:t>* * *</w:t>
      </w:r>
    </w:p>
    <w:p w:rsidR="008C2BA0" w:rsidRPr="00D97996" w:rsidRDefault="008C2BA0">
      <w:pPr>
        <w:rPr>
          <w:sz w:val="32"/>
          <w:szCs w:val="32"/>
        </w:rPr>
      </w:pPr>
    </w:p>
    <w:sectPr w:rsidR="008C2BA0" w:rsidRPr="00D9799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44"/>
    <w:rsid w:val="0003272B"/>
    <w:rsid w:val="003D6F44"/>
    <w:rsid w:val="008C2BA0"/>
    <w:rsid w:val="00D97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9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9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1891">
      <w:bodyDiv w:val="1"/>
      <w:marLeft w:val="0"/>
      <w:marRight w:val="0"/>
      <w:marTop w:val="0"/>
      <w:marBottom w:val="0"/>
      <w:divBdr>
        <w:top w:val="none" w:sz="0" w:space="0" w:color="auto"/>
        <w:left w:val="none" w:sz="0" w:space="0" w:color="auto"/>
        <w:bottom w:val="none" w:sz="0" w:space="0" w:color="auto"/>
        <w:right w:val="none" w:sz="0" w:space="0" w:color="auto"/>
      </w:divBdr>
      <w:divsChild>
        <w:div w:id="1370833614">
          <w:marLeft w:val="0"/>
          <w:marRight w:val="0"/>
          <w:marTop w:val="0"/>
          <w:marBottom w:val="0"/>
          <w:divBdr>
            <w:top w:val="none" w:sz="0" w:space="0" w:color="auto"/>
            <w:left w:val="none" w:sz="0" w:space="0" w:color="auto"/>
            <w:bottom w:val="none" w:sz="0" w:space="0" w:color="auto"/>
            <w:right w:val="none" w:sz="0" w:space="0" w:color="auto"/>
          </w:divBdr>
        </w:div>
        <w:div w:id="1843010274">
          <w:marLeft w:val="0"/>
          <w:marRight w:val="0"/>
          <w:marTop w:val="0"/>
          <w:marBottom w:val="0"/>
          <w:divBdr>
            <w:top w:val="none" w:sz="0" w:space="0" w:color="auto"/>
            <w:left w:val="none" w:sz="0" w:space="0" w:color="auto"/>
            <w:bottom w:val="none" w:sz="0" w:space="0" w:color="auto"/>
            <w:right w:val="none" w:sz="0" w:space="0" w:color="auto"/>
          </w:divBdr>
        </w:div>
        <w:div w:id="1776751521">
          <w:marLeft w:val="0"/>
          <w:marRight w:val="0"/>
          <w:marTop w:val="0"/>
          <w:marBottom w:val="0"/>
          <w:divBdr>
            <w:top w:val="none" w:sz="0" w:space="0" w:color="auto"/>
            <w:left w:val="none" w:sz="0" w:space="0" w:color="auto"/>
            <w:bottom w:val="none" w:sz="0" w:space="0" w:color="auto"/>
            <w:right w:val="none" w:sz="0" w:space="0" w:color="auto"/>
          </w:divBdr>
        </w:div>
        <w:div w:id="268709295">
          <w:marLeft w:val="0"/>
          <w:marRight w:val="0"/>
          <w:marTop w:val="0"/>
          <w:marBottom w:val="0"/>
          <w:divBdr>
            <w:top w:val="none" w:sz="0" w:space="0" w:color="auto"/>
            <w:left w:val="none" w:sz="0" w:space="0" w:color="auto"/>
            <w:bottom w:val="none" w:sz="0" w:space="0" w:color="auto"/>
            <w:right w:val="none" w:sz="0" w:space="0" w:color="auto"/>
          </w:divBdr>
        </w:div>
        <w:div w:id="881214233">
          <w:marLeft w:val="0"/>
          <w:marRight w:val="0"/>
          <w:marTop w:val="0"/>
          <w:marBottom w:val="0"/>
          <w:divBdr>
            <w:top w:val="none" w:sz="0" w:space="0" w:color="auto"/>
            <w:left w:val="none" w:sz="0" w:space="0" w:color="auto"/>
            <w:bottom w:val="none" w:sz="0" w:space="0" w:color="auto"/>
            <w:right w:val="none" w:sz="0" w:space="0" w:color="auto"/>
          </w:divBdr>
        </w:div>
        <w:div w:id="743257494">
          <w:marLeft w:val="0"/>
          <w:marRight w:val="0"/>
          <w:marTop w:val="0"/>
          <w:marBottom w:val="0"/>
          <w:divBdr>
            <w:top w:val="none" w:sz="0" w:space="0" w:color="auto"/>
            <w:left w:val="none" w:sz="0" w:space="0" w:color="auto"/>
            <w:bottom w:val="none" w:sz="0" w:space="0" w:color="auto"/>
            <w:right w:val="none" w:sz="0" w:space="0" w:color="auto"/>
          </w:divBdr>
        </w:div>
        <w:div w:id="1448038580">
          <w:marLeft w:val="0"/>
          <w:marRight w:val="0"/>
          <w:marTop w:val="0"/>
          <w:marBottom w:val="0"/>
          <w:divBdr>
            <w:top w:val="none" w:sz="0" w:space="0" w:color="auto"/>
            <w:left w:val="none" w:sz="0" w:space="0" w:color="auto"/>
            <w:bottom w:val="none" w:sz="0" w:space="0" w:color="auto"/>
            <w:right w:val="none" w:sz="0" w:space="0" w:color="auto"/>
          </w:divBdr>
        </w:div>
        <w:div w:id="411926239">
          <w:marLeft w:val="0"/>
          <w:marRight w:val="0"/>
          <w:marTop w:val="0"/>
          <w:marBottom w:val="0"/>
          <w:divBdr>
            <w:top w:val="none" w:sz="0" w:space="0" w:color="auto"/>
            <w:left w:val="none" w:sz="0" w:space="0" w:color="auto"/>
            <w:bottom w:val="none" w:sz="0" w:space="0" w:color="auto"/>
            <w:right w:val="none" w:sz="0" w:space="0" w:color="auto"/>
          </w:divBdr>
        </w:div>
        <w:div w:id="1801067360">
          <w:marLeft w:val="0"/>
          <w:marRight w:val="0"/>
          <w:marTop w:val="0"/>
          <w:marBottom w:val="0"/>
          <w:divBdr>
            <w:top w:val="none" w:sz="0" w:space="0" w:color="auto"/>
            <w:left w:val="none" w:sz="0" w:space="0" w:color="auto"/>
            <w:bottom w:val="none" w:sz="0" w:space="0" w:color="auto"/>
            <w:right w:val="none" w:sz="0" w:space="0" w:color="auto"/>
          </w:divBdr>
        </w:div>
        <w:div w:id="803237846">
          <w:marLeft w:val="0"/>
          <w:marRight w:val="0"/>
          <w:marTop w:val="0"/>
          <w:marBottom w:val="0"/>
          <w:divBdr>
            <w:top w:val="none" w:sz="0" w:space="0" w:color="auto"/>
            <w:left w:val="none" w:sz="0" w:space="0" w:color="auto"/>
            <w:bottom w:val="none" w:sz="0" w:space="0" w:color="auto"/>
            <w:right w:val="none" w:sz="0" w:space="0" w:color="auto"/>
          </w:divBdr>
        </w:div>
      </w:divsChild>
    </w:div>
    <w:div w:id="1454203099">
      <w:bodyDiv w:val="1"/>
      <w:marLeft w:val="0"/>
      <w:marRight w:val="0"/>
      <w:marTop w:val="0"/>
      <w:marBottom w:val="0"/>
      <w:divBdr>
        <w:top w:val="none" w:sz="0" w:space="0" w:color="auto"/>
        <w:left w:val="none" w:sz="0" w:space="0" w:color="auto"/>
        <w:bottom w:val="none" w:sz="0" w:space="0" w:color="auto"/>
        <w:right w:val="none" w:sz="0" w:space="0" w:color="auto"/>
      </w:divBdr>
      <w:divsChild>
        <w:div w:id="1151949504">
          <w:marLeft w:val="0"/>
          <w:marRight w:val="0"/>
          <w:marTop w:val="0"/>
          <w:marBottom w:val="0"/>
          <w:divBdr>
            <w:top w:val="none" w:sz="0" w:space="0" w:color="auto"/>
            <w:left w:val="none" w:sz="0" w:space="0" w:color="auto"/>
            <w:bottom w:val="none" w:sz="0" w:space="0" w:color="auto"/>
            <w:right w:val="none" w:sz="0" w:space="0" w:color="auto"/>
          </w:divBdr>
        </w:div>
        <w:div w:id="306208380">
          <w:marLeft w:val="0"/>
          <w:marRight w:val="0"/>
          <w:marTop w:val="0"/>
          <w:marBottom w:val="0"/>
          <w:divBdr>
            <w:top w:val="none" w:sz="0" w:space="0" w:color="auto"/>
            <w:left w:val="none" w:sz="0" w:space="0" w:color="auto"/>
            <w:bottom w:val="none" w:sz="0" w:space="0" w:color="auto"/>
            <w:right w:val="none" w:sz="0" w:space="0" w:color="auto"/>
          </w:divBdr>
        </w:div>
        <w:div w:id="1325550234">
          <w:marLeft w:val="0"/>
          <w:marRight w:val="0"/>
          <w:marTop w:val="0"/>
          <w:marBottom w:val="0"/>
          <w:divBdr>
            <w:top w:val="none" w:sz="0" w:space="0" w:color="auto"/>
            <w:left w:val="none" w:sz="0" w:space="0" w:color="auto"/>
            <w:bottom w:val="none" w:sz="0" w:space="0" w:color="auto"/>
            <w:right w:val="none" w:sz="0" w:space="0" w:color="auto"/>
          </w:divBdr>
        </w:div>
        <w:div w:id="457382988">
          <w:marLeft w:val="0"/>
          <w:marRight w:val="0"/>
          <w:marTop w:val="0"/>
          <w:marBottom w:val="0"/>
          <w:divBdr>
            <w:top w:val="none" w:sz="0" w:space="0" w:color="auto"/>
            <w:left w:val="none" w:sz="0" w:space="0" w:color="auto"/>
            <w:bottom w:val="none" w:sz="0" w:space="0" w:color="auto"/>
            <w:right w:val="none" w:sz="0" w:space="0" w:color="auto"/>
          </w:divBdr>
        </w:div>
        <w:div w:id="572013812">
          <w:marLeft w:val="0"/>
          <w:marRight w:val="0"/>
          <w:marTop w:val="0"/>
          <w:marBottom w:val="0"/>
          <w:divBdr>
            <w:top w:val="none" w:sz="0" w:space="0" w:color="auto"/>
            <w:left w:val="none" w:sz="0" w:space="0" w:color="auto"/>
            <w:bottom w:val="none" w:sz="0" w:space="0" w:color="auto"/>
            <w:right w:val="none" w:sz="0" w:space="0" w:color="auto"/>
          </w:divBdr>
        </w:div>
        <w:div w:id="3945209">
          <w:marLeft w:val="0"/>
          <w:marRight w:val="0"/>
          <w:marTop w:val="0"/>
          <w:marBottom w:val="0"/>
          <w:divBdr>
            <w:top w:val="none" w:sz="0" w:space="0" w:color="auto"/>
            <w:left w:val="none" w:sz="0" w:space="0" w:color="auto"/>
            <w:bottom w:val="none" w:sz="0" w:space="0" w:color="auto"/>
            <w:right w:val="none" w:sz="0" w:space="0" w:color="auto"/>
          </w:divBdr>
        </w:div>
        <w:div w:id="399908082">
          <w:marLeft w:val="0"/>
          <w:marRight w:val="0"/>
          <w:marTop w:val="0"/>
          <w:marBottom w:val="0"/>
          <w:divBdr>
            <w:top w:val="none" w:sz="0" w:space="0" w:color="auto"/>
            <w:left w:val="none" w:sz="0" w:space="0" w:color="auto"/>
            <w:bottom w:val="none" w:sz="0" w:space="0" w:color="auto"/>
            <w:right w:val="none" w:sz="0" w:space="0" w:color="auto"/>
          </w:divBdr>
        </w:div>
        <w:div w:id="279992335">
          <w:marLeft w:val="0"/>
          <w:marRight w:val="0"/>
          <w:marTop w:val="0"/>
          <w:marBottom w:val="0"/>
          <w:divBdr>
            <w:top w:val="none" w:sz="0" w:space="0" w:color="auto"/>
            <w:left w:val="none" w:sz="0" w:space="0" w:color="auto"/>
            <w:bottom w:val="none" w:sz="0" w:space="0" w:color="auto"/>
            <w:right w:val="none" w:sz="0" w:space="0" w:color="auto"/>
          </w:divBdr>
        </w:div>
        <w:div w:id="1587879164">
          <w:marLeft w:val="0"/>
          <w:marRight w:val="0"/>
          <w:marTop w:val="0"/>
          <w:marBottom w:val="0"/>
          <w:divBdr>
            <w:top w:val="none" w:sz="0" w:space="0" w:color="auto"/>
            <w:left w:val="none" w:sz="0" w:space="0" w:color="auto"/>
            <w:bottom w:val="none" w:sz="0" w:space="0" w:color="auto"/>
            <w:right w:val="none" w:sz="0" w:space="0" w:color="auto"/>
          </w:divBdr>
        </w:div>
        <w:div w:id="206078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2020-04-26T11:41:00Z</dcterms:created>
  <dcterms:modified xsi:type="dcterms:W3CDTF">2020-04-26T11:42:00Z</dcterms:modified>
</cp:coreProperties>
</file>