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76" w:rsidRPr="00782D76" w:rsidRDefault="00782D76" w:rsidP="00782D76">
      <w:pPr>
        <w:jc w:val="center"/>
        <w:rPr>
          <w:sz w:val="32"/>
          <w:szCs w:val="32"/>
        </w:rPr>
      </w:pPr>
      <w:bookmarkStart w:id="0" w:name="Anchor1"/>
      <w:bookmarkEnd w:id="0"/>
      <w:r w:rsidRPr="00782D76">
        <w:rPr>
          <w:sz w:val="32"/>
          <w:szCs w:val="32"/>
          <w:rtl/>
        </w:rPr>
        <w:t>الطعن رق</w:t>
      </w:r>
      <w:bookmarkStart w:id="1" w:name="_GoBack"/>
      <w:bookmarkEnd w:id="1"/>
      <w:r w:rsidRPr="00782D76">
        <w:rPr>
          <w:sz w:val="32"/>
          <w:szCs w:val="32"/>
          <w:rtl/>
        </w:rPr>
        <w:t xml:space="preserve">م 545 لسنة </w:t>
      </w:r>
      <w:r w:rsidRPr="00782D76">
        <w:rPr>
          <w:sz w:val="32"/>
          <w:szCs w:val="32"/>
        </w:rPr>
        <w:t>2013</w:t>
      </w:r>
    </w:p>
    <w:p w:rsidR="00782D76" w:rsidRPr="00782D76" w:rsidRDefault="00782D76" w:rsidP="00782D76">
      <w:pPr>
        <w:rPr>
          <w:sz w:val="32"/>
          <w:szCs w:val="32"/>
        </w:rPr>
      </w:pPr>
      <w:bookmarkStart w:id="2" w:name="Anchor8"/>
      <w:bookmarkEnd w:id="2"/>
      <w:r w:rsidRPr="00782D76">
        <w:rPr>
          <w:sz w:val="32"/>
          <w:szCs w:val="32"/>
          <w:rtl/>
        </w:rPr>
        <w:t>هيئة المحكمة</w:t>
      </w:r>
      <w:r w:rsidRPr="00782D76">
        <w:rPr>
          <w:sz w:val="32"/>
          <w:szCs w:val="32"/>
        </w:rPr>
        <w:t xml:space="preserve">: </w:t>
      </w:r>
      <w:r w:rsidRPr="00782D76">
        <w:rPr>
          <w:sz w:val="32"/>
          <w:szCs w:val="32"/>
          <w:rtl/>
        </w:rPr>
        <w:t>برئاسة السيد المستشار خالد المزيني وكيل المحكمة وعضوية السادة المستشارين ممدوح القزاز وصلاح الدين كامل وامين طموم وعلي مرغني</w:t>
      </w:r>
    </w:p>
    <w:bookmarkStart w:id="3" w:name="Anchor22"/>
    <w:bookmarkEnd w:id="3"/>
    <w:p w:rsidR="00782D76" w:rsidRPr="00782D76" w:rsidRDefault="00782D76" w:rsidP="00782D76">
      <w:pPr>
        <w:rPr>
          <w:sz w:val="32"/>
          <w:szCs w:val="32"/>
        </w:rPr>
      </w:pPr>
      <w:r w:rsidRPr="00782D76">
        <w:rPr>
          <w:sz w:val="32"/>
          <w:szCs w:val="32"/>
        </w:rPr>
        <w:fldChar w:fldCharType="begin"/>
      </w:r>
      <w:r w:rsidRPr="00782D76">
        <w:rPr>
          <w:sz w:val="32"/>
          <w:szCs w:val="32"/>
        </w:rPr>
        <w:instrText xml:space="preserve"> HYPERLINK "http://www.law.gov.kw/KWT_CC-Ar/00_2014/00_%D8%A7%D9%84%D8%AF%D8%A7%D8%A6%D8%B1%D8%A9%20%D8%A7%D9%84%D8%AA%D8%AC%D8%A7%D8%B1%D9%8A%D8%A9/KWT-CC-Ar_2014-04-02_00545_Taan.html" \l "TM2014_545_1" </w:instrText>
      </w:r>
      <w:r w:rsidRPr="00782D76">
        <w:rPr>
          <w:sz w:val="32"/>
          <w:szCs w:val="32"/>
        </w:rPr>
        <w:fldChar w:fldCharType="separate"/>
      </w:r>
      <w:r w:rsidRPr="00782D76">
        <w:rPr>
          <w:rStyle w:val="Hyperlink"/>
          <w:sz w:val="32"/>
          <w:szCs w:val="32"/>
        </w:rPr>
        <w:t xml:space="preserve">1 – </w:t>
      </w:r>
      <w:r w:rsidRPr="00782D76">
        <w:rPr>
          <w:rStyle w:val="Hyperlink"/>
          <w:sz w:val="32"/>
          <w:szCs w:val="32"/>
          <w:rtl/>
        </w:rPr>
        <w:t>ان لمحكمة الموضوع سلطة فهم الواقع في الدعوى والتعرف على حقيقتها والموازنة بين ادلتها والأخذ بتقرير الخبير المنتدب متى اطمأنت اليه دون الزام بالرد استقلالا على الطعون الموجهة اليه</w:t>
      </w:r>
      <w:r w:rsidRPr="00782D76">
        <w:rPr>
          <w:rStyle w:val="Hyperlink"/>
          <w:sz w:val="32"/>
          <w:szCs w:val="32"/>
        </w:rPr>
        <w:t>.</w:t>
      </w:r>
      <w:r w:rsidRPr="00782D76">
        <w:rPr>
          <w:sz w:val="32"/>
          <w:szCs w:val="32"/>
        </w:rPr>
        <w:fldChar w:fldCharType="end"/>
      </w:r>
    </w:p>
    <w:bookmarkStart w:id="4" w:name="Anchor43"/>
    <w:bookmarkEnd w:id="4"/>
    <w:p w:rsidR="00782D76" w:rsidRPr="00782D76" w:rsidRDefault="00782D76" w:rsidP="00782D76">
      <w:pPr>
        <w:rPr>
          <w:sz w:val="32"/>
          <w:szCs w:val="32"/>
        </w:rPr>
      </w:pPr>
      <w:r w:rsidRPr="00782D76">
        <w:rPr>
          <w:sz w:val="32"/>
          <w:szCs w:val="32"/>
        </w:rPr>
        <w:fldChar w:fldCharType="begin"/>
      </w:r>
      <w:r w:rsidRPr="00782D76">
        <w:rPr>
          <w:sz w:val="32"/>
          <w:szCs w:val="32"/>
        </w:rPr>
        <w:instrText xml:space="preserve"> HYPERLINK "http://www.law.gov.kw/KWT_CC-Ar/00_2014/00_%D8%A7%D9%84%D8%AF%D8%A7%D8%A6%D8%B1%D8%A9%20%D8%A7%D9%84%D8%AA%D8%AC%D8%A7%D8%B1%D9%8A%D8%A9/KWT-CC-Ar_2014-04-02_00545_Taan.html" \l "TM2014_545_2" </w:instrText>
      </w:r>
      <w:r w:rsidRPr="00782D76">
        <w:rPr>
          <w:sz w:val="32"/>
          <w:szCs w:val="32"/>
        </w:rPr>
        <w:fldChar w:fldCharType="separate"/>
      </w:r>
      <w:r w:rsidRPr="00782D76">
        <w:rPr>
          <w:rStyle w:val="Hyperlink"/>
          <w:sz w:val="32"/>
          <w:szCs w:val="32"/>
        </w:rPr>
        <w:t xml:space="preserve">2 – </w:t>
      </w:r>
      <w:r w:rsidRPr="00782D76">
        <w:rPr>
          <w:rStyle w:val="Hyperlink"/>
          <w:sz w:val="32"/>
          <w:szCs w:val="32"/>
          <w:rtl/>
        </w:rPr>
        <w:t>ان لمحكمة الموضوع عدم الاستجابة على طلب ندب خبير آخر في الدعوى متى وجدت في اوراقها ما يكفي لتكوين عقيدتها</w:t>
      </w:r>
      <w:r w:rsidRPr="00782D76">
        <w:rPr>
          <w:rStyle w:val="Hyperlink"/>
          <w:sz w:val="32"/>
          <w:szCs w:val="32"/>
        </w:rPr>
        <w:t>.</w:t>
      </w:r>
      <w:r w:rsidRPr="00782D76">
        <w:rPr>
          <w:sz w:val="32"/>
          <w:szCs w:val="32"/>
        </w:rPr>
        <w:fldChar w:fldCharType="end"/>
      </w:r>
    </w:p>
    <w:bookmarkStart w:id="5" w:name="Anchor55"/>
    <w:bookmarkEnd w:id="5"/>
    <w:p w:rsidR="00782D76" w:rsidRPr="00782D76" w:rsidRDefault="00782D76" w:rsidP="00782D76">
      <w:pPr>
        <w:rPr>
          <w:sz w:val="32"/>
          <w:szCs w:val="32"/>
        </w:rPr>
      </w:pPr>
      <w:r w:rsidRPr="00782D76">
        <w:rPr>
          <w:sz w:val="32"/>
          <w:szCs w:val="32"/>
        </w:rPr>
        <w:fldChar w:fldCharType="begin"/>
      </w:r>
      <w:r w:rsidRPr="00782D76">
        <w:rPr>
          <w:sz w:val="32"/>
          <w:szCs w:val="32"/>
        </w:rPr>
        <w:instrText xml:space="preserve"> HYPERLINK "http://www.law.gov.kw/KWT_CC-Ar/00_2014/00_%D8%A7%D9%84%D8%AF%D8%A7%D8%A6%D8%B1%D8%A9%20%D8%A7%D9%84%D8%AA%D8%AC%D8%A7%D8%B1%D9%8A%D8%A9/KWT-CC-Ar_2014-04-02_00545_Taan.html" \l "TM2014_545_3" </w:instrText>
      </w:r>
      <w:r w:rsidRPr="00782D76">
        <w:rPr>
          <w:sz w:val="32"/>
          <w:szCs w:val="32"/>
        </w:rPr>
        <w:fldChar w:fldCharType="separate"/>
      </w:r>
      <w:r w:rsidRPr="00782D76">
        <w:rPr>
          <w:rStyle w:val="Hyperlink"/>
          <w:sz w:val="32"/>
          <w:szCs w:val="32"/>
        </w:rPr>
        <w:t xml:space="preserve">3 – </w:t>
      </w:r>
      <w:r w:rsidRPr="00782D76">
        <w:rPr>
          <w:rStyle w:val="Hyperlink"/>
          <w:sz w:val="32"/>
          <w:szCs w:val="32"/>
          <w:rtl/>
        </w:rPr>
        <w:t>ان لمحكمة الموضوع ان تأمر بوقف الدعوى عند وجود مسألة اخرى يتوقف عليها الحكم ولها ان تتبين مبلغ الجد فيما يثور في تلك المسألة الأولية ومدى ارتباطها بما هو معروض عليها</w:t>
      </w:r>
      <w:r w:rsidRPr="00782D76">
        <w:rPr>
          <w:rStyle w:val="Hyperlink"/>
          <w:sz w:val="32"/>
          <w:szCs w:val="32"/>
        </w:rPr>
        <w:t>.</w:t>
      </w:r>
      <w:r w:rsidRPr="00782D76">
        <w:rPr>
          <w:sz w:val="32"/>
          <w:szCs w:val="32"/>
        </w:rPr>
        <w:fldChar w:fldCharType="end"/>
      </w:r>
    </w:p>
    <w:bookmarkStart w:id="6" w:name="Anchor72"/>
    <w:bookmarkEnd w:id="6"/>
    <w:p w:rsidR="00782D76" w:rsidRPr="00782D76" w:rsidRDefault="00782D76" w:rsidP="00782D76">
      <w:pPr>
        <w:rPr>
          <w:sz w:val="32"/>
          <w:szCs w:val="32"/>
        </w:rPr>
      </w:pPr>
      <w:r w:rsidRPr="00782D76">
        <w:rPr>
          <w:sz w:val="32"/>
          <w:szCs w:val="32"/>
        </w:rPr>
        <w:fldChar w:fldCharType="begin"/>
      </w:r>
      <w:r w:rsidRPr="00782D76">
        <w:rPr>
          <w:sz w:val="32"/>
          <w:szCs w:val="32"/>
        </w:rPr>
        <w:instrText xml:space="preserve"> HYPERLINK "http://www.law.gov.kw/KWT_CC-Ar/00_2014/00_%D8%A7%D9%84%D8%AF%D8%A7%D8%A6%D8%B1%D8%A9%20%D8%A7%D9%84%D8%AA%D8%AC%D8%A7%D8%B1%D9%8A%D8%A9/KWT-CC-Ar_2014-04-02_00545_Taan.html" \l "TM2014_545_4" </w:instrText>
      </w:r>
      <w:r w:rsidRPr="00782D76">
        <w:rPr>
          <w:sz w:val="32"/>
          <w:szCs w:val="32"/>
        </w:rPr>
        <w:fldChar w:fldCharType="separate"/>
      </w:r>
      <w:r w:rsidRPr="00782D76">
        <w:rPr>
          <w:rStyle w:val="Hyperlink"/>
          <w:sz w:val="32"/>
          <w:szCs w:val="32"/>
        </w:rPr>
        <w:t xml:space="preserve">4 – </w:t>
      </w:r>
      <w:r w:rsidRPr="00782D76">
        <w:rPr>
          <w:rStyle w:val="Hyperlink"/>
          <w:sz w:val="32"/>
          <w:szCs w:val="32"/>
          <w:rtl/>
        </w:rPr>
        <w:t>ان الطاعنة ملزمة بأن تؤدي الى المطعون ضدها الأولى المبلغ المقضي به والفوائد كونه تبين بعد تصفية الحساب بين الفريقين ان ذمة الشركة الطاعنة مشغولة لصالح المطعون ضدها الأولى وهو يمثل باقي الاعمال التي قامت بتنفيذها لصالح الطاعنة</w:t>
      </w:r>
      <w:r w:rsidRPr="00782D76">
        <w:rPr>
          <w:rStyle w:val="Hyperlink"/>
          <w:sz w:val="32"/>
          <w:szCs w:val="32"/>
        </w:rPr>
        <w:t>.</w:t>
      </w:r>
      <w:r w:rsidRPr="00782D76">
        <w:rPr>
          <w:sz w:val="32"/>
          <w:szCs w:val="32"/>
        </w:rPr>
        <w:fldChar w:fldCharType="end"/>
      </w:r>
      <w:r w:rsidRPr="00782D76">
        <w:rPr>
          <w:sz w:val="32"/>
          <w:szCs w:val="32"/>
        </w:rPr>
        <w:br/>
      </w:r>
      <w:r w:rsidRPr="00782D76">
        <w:rPr>
          <w:sz w:val="32"/>
          <w:szCs w:val="32"/>
        </w:rPr>
        <w:br/>
      </w:r>
      <w:r w:rsidRPr="00782D76">
        <w:rPr>
          <w:sz w:val="32"/>
          <w:szCs w:val="32"/>
          <w:u w:val="single"/>
          <w:rtl/>
        </w:rPr>
        <w:t>ملاحظة</w:t>
      </w:r>
      <w:r w:rsidRPr="00782D76">
        <w:rPr>
          <w:sz w:val="32"/>
          <w:szCs w:val="32"/>
          <w:u w:val="single"/>
        </w:rPr>
        <w:t xml:space="preserve"> :</w:t>
      </w:r>
      <w:r w:rsidRPr="00782D76">
        <w:rPr>
          <w:sz w:val="32"/>
          <w:szCs w:val="32"/>
        </w:rPr>
        <w:br/>
      </w:r>
      <w:r w:rsidRPr="00782D76">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82D76" w:rsidRPr="00782D76" w:rsidRDefault="00782D76" w:rsidP="00782D76">
      <w:pPr>
        <w:rPr>
          <w:sz w:val="32"/>
          <w:szCs w:val="32"/>
        </w:rPr>
      </w:pPr>
      <w:bookmarkStart w:id="7" w:name="Anchor96"/>
      <w:bookmarkEnd w:id="7"/>
      <w:r w:rsidRPr="00782D76">
        <w:rPr>
          <w:b/>
          <w:bCs/>
          <w:sz w:val="32"/>
          <w:szCs w:val="32"/>
          <w:rtl/>
        </w:rPr>
        <w:t>المحكمة</w:t>
      </w:r>
    </w:p>
    <w:p w:rsidR="00782D76" w:rsidRPr="00782D76" w:rsidRDefault="00782D76" w:rsidP="00782D76">
      <w:pPr>
        <w:rPr>
          <w:sz w:val="32"/>
          <w:szCs w:val="32"/>
        </w:rPr>
      </w:pPr>
      <w:bookmarkStart w:id="8" w:name="Anchor97"/>
      <w:bookmarkEnd w:id="8"/>
      <w:r w:rsidRPr="00782D76">
        <w:rPr>
          <w:sz w:val="32"/>
          <w:szCs w:val="32"/>
          <w:rtl/>
        </w:rPr>
        <w:t>بعد الاطلاع على الأوراق ، والمداولة</w:t>
      </w:r>
      <w:r w:rsidRPr="00782D76">
        <w:rPr>
          <w:sz w:val="32"/>
          <w:szCs w:val="32"/>
        </w:rPr>
        <w:t>.</w:t>
      </w:r>
    </w:p>
    <w:p w:rsidR="00782D76" w:rsidRPr="00782D76" w:rsidRDefault="00782D76" w:rsidP="00782D76">
      <w:pPr>
        <w:rPr>
          <w:sz w:val="32"/>
          <w:szCs w:val="32"/>
        </w:rPr>
      </w:pPr>
      <w:bookmarkStart w:id="9" w:name="Anchor102"/>
      <w:bookmarkStart w:id="10" w:name="TM2014_545_1"/>
      <w:bookmarkEnd w:id="9"/>
      <w:bookmarkEnd w:id="10"/>
      <w:r w:rsidRPr="00782D76">
        <w:rPr>
          <w:b/>
          <w:bCs/>
          <w:sz w:val="32"/>
          <w:szCs w:val="32"/>
          <w:rtl/>
        </w:rPr>
        <w:t>لما كان من المقرر أن لمحكمة الموضوع سلطة تحصيل وفهم الواقع في الدعوى والتعرف على حقيقتها والموازنة بين أدلتها وترجيح ما تطمئن إليه منها، ولها ان تأخذ بتقرير الخبير المنتدب متى اطمأنت إليه دون الزام عليها بالرد استقلالاً على الطعون الموجهة إليه،</w:t>
      </w:r>
    </w:p>
    <w:p w:rsidR="00782D76" w:rsidRPr="00782D76" w:rsidRDefault="00782D76" w:rsidP="00782D76">
      <w:pPr>
        <w:rPr>
          <w:sz w:val="32"/>
          <w:szCs w:val="32"/>
        </w:rPr>
      </w:pPr>
      <w:bookmarkStart w:id="11" w:name="Anchor126"/>
      <w:bookmarkStart w:id="12" w:name="TM2014_545_2"/>
      <w:bookmarkEnd w:id="11"/>
      <w:bookmarkEnd w:id="12"/>
      <w:r w:rsidRPr="00782D76">
        <w:rPr>
          <w:b/>
          <w:bCs/>
          <w:sz w:val="32"/>
          <w:szCs w:val="32"/>
          <w:rtl/>
        </w:rPr>
        <w:t>وان طلب ندب خبير آخر في الدعوى ليس حقاً للخصوم إنما هو من الرخص التي تملك محكمة الموضوع عدم الاستجابة إليها متى وجدت في أوراق الدعوى ما يكفي لتكوين عقيدتها</w:t>
      </w:r>
      <w:r w:rsidRPr="00782D76">
        <w:rPr>
          <w:b/>
          <w:bCs/>
          <w:sz w:val="32"/>
          <w:szCs w:val="32"/>
        </w:rPr>
        <w:t>.</w:t>
      </w:r>
    </w:p>
    <w:p w:rsidR="00782D76" w:rsidRPr="00782D76" w:rsidRDefault="00782D76" w:rsidP="00782D76">
      <w:pPr>
        <w:rPr>
          <w:sz w:val="32"/>
          <w:szCs w:val="32"/>
        </w:rPr>
      </w:pPr>
      <w:bookmarkStart w:id="13" w:name="Anchor141"/>
      <w:bookmarkStart w:id="14" w:name="TM2014_545_3"/>
      <w:bookmarkEnd w:id="13"/>
      <w:bookmarkEnd w:id="14"/>
      <w:r w:rsidRPr="00782D76">
        <w:rPr>
          <w:b/>
          <w:bCs/>
          <w:sz w:val="32"/>
          <w:szCs w:val="32"/>
          <w:rtl/>
        </w:rPr>
        <w:lastRenderedPageBreak/>
        <w:t>ولها ان تأمر بوقف الدعوى إذا رأت تعليق الحكم في موضوعها على الفصل في مسألة أخرى يتوقف عليها الحكم، ولها في سبيل ذلك أن تتبين مبلغ الجد فيما يثور في تلك المسألة الأولية ومدى ارتباطها بما هو معروض عليها كما أن لها ان ترفض الوقف أن استبان لها غير ذلك</w:t>
      </w:r>
      <w:r w:rsidRPr="00782D76">
        <w:rPr>
          <w:b/>
          <w:bCs/>
          <w:sz w:val="32"/>
          <w:szCs w:val="32"/>
        </w:rPr>
        <w:t>.</w:t>
      </w:r>
    </w:p>
    <w:p w:rsidR="00782D76" w:rsidRPr="00782D76" w:rsidRDefault="00782D76" w:rsidP="00782D76">
      <w:pPr>
        <w:rPr>
          <w:sz w:val="32"/>
          <w:szCs w:val="32"/>
        </w:rPr>
      </w:pPr>
      <w:bookmarkStart w:id="15" w:name="Anchor164"/>
      <w:bookmarkStart w:id="16" w:name="TM2014_545_4"/>
      <w:bookmarkEnd w:id="15"/>
      <w:bookmarkEnd w:id="16"/>
      <w:r w:rsidRPr="00782D76">
        <w:rPr>
          <w:b/>
          <w:bCs/>
          <w:sz w:val="32"/>
          <w:szCs w:val="32"/>
          <w:rtl/>
        </w:rPr>
        <w:t xml:space="preserve">لما كان ذلك وكان الحكم الابتدائي المؤيد والمكمل بالحكم المطعون فيه قد اقام قضاءه بالزام الطاعنة بأن تؤدي إلى المطعون ضدها الأولى المبلغ المقضي به والفوائد على ما استخلصه واطمأن إليه من أوراق الدعوى وتقرير الخبير المنتدب فيها لكفاية أبحاثه وسلامة الأسس التي بنى عليها والذي انتهى في نتيجته إلى أن الشركة المطعون ضدها الأولى قد أوفت بالتزاماتها الواردة في العقد سند الدعوى وأنه بتصفية الحساب بين الطرفين تبين أن ذمة الشركة الطاعنة مشغولة لصالح المطعون ضدها الأولى بمبلغ </w:t>
      </w:r>
      <w:r w:rsidRPr="00782D76">
        <w:rPr>
          <w:b/>
          <w:bCs/>
          <w:sz w:val="32"/>
          <w:szCs w:val="32"/>
        </w:rPr>
        <w:t xml:space="preserve">362,106103 </w:t>
      </w:r>
      <w:r w:rsidRPr="00782D76">
        <w:rPr>
          <w:b/>
          <w:bCs/>
          <w:sz w:val="32"/>
          <w:szCs w:val="32"/>
          <w:rtl/>
        </w:rPr>
        <w:t>د.ك وهو يمثل باقي قيمة الأعمال التي قامت بتنفيذها لصالح الطاعنة وأضاف الحكم المطعون فيه ان الطاعنة لم تقدم للمحكمة ثمة بيان عن الدعوى المراد وقف الدعوى المطروحة لحين الفصل في موضوعها، ومدى ارتباطها بها حتى يمكن الوقوف عن مدى توافر شرائط القضاء بالوقف التعليقي</w:t>
      </w:r>
      <w:r w:rsidRPr="00782D76">
        <w:rPr>
          <w:b/>
          <w:bCs/>
          <w:sz w:val="32"/>
          <w:szCs w:val="32"/>
        </w:rPr>
        <w:t xml:space="preserve">. </w:t>
      </w:r>
      <w:r w:rsidRPr="00782D76">
        <w:rPr>
          <w:b/>
          <w:bCs/>
          <w:sz w:val="32"/>
          <w:szCs w:val="32"/>
          <w:rtl/>
        </w:rPr>
        <w:t>وكان هذا الذي خلص إليه الحكم وأقام عليه قضاءه سائغاً وكافياً لحمله وله أصله الثابت بالأوراق</w:t>
      </w:r>
      <w:r w:rsidRPr="00782D76">
        <w:rPr>
          <w:sz w:val="32"/>
          <w:szCs w:val="32"/>
          <w:rtl/>
        </w:rPr>
        <w:t xml:space="preserve"> ولا ينال من التفاته عن طلب الطاعنة بإعادة الدعوى إلى الخبير ومن ثم يضحى النعي عليه بسببي الطعن بالخطأ لاستناده لتقرير الخبير وإغفاله دفاع الطاعنة في شأنه قصور ذلك التقرير، والتفاته عن طلبها بوقف الدعوى تعليقاً لحين الفصل في الدعوى الأخرى العامة منها على المطعون ضده الثاني محض جدل فيما تستقل محكمة الموضوع بتقديره تنحسر عنه رقابة محكمة التمييز ويكون الطعن برمته غير مقبول عملاً بنص المادتين </w:t>
      </w:r>
      <w:r w:rsidRPr="00782D76">
        <w:rPr>
          <w:sz w:val="32"/>
          <w:szCs w:val="32"/>
        </w:rPr>
        <w:t>152</w:t>
      </w:r>
      <w:r w:rsidRPr="00782D76">
        <w:rPr>
          <w:sz w:val="32"/>
          <w:szCs w:val="32"/>
          <w:rtl/>
        </w:rPr>
        <w:t xml:space="preserve">، </w:t>
      </w:r>
      <w:r w:rsidRPr="00782D76">
        <w:rPr>
          <w:sz w:val="32"/>
          <w:szCs w:val="32"/>
        </w:rPr>
        <w:t xml:space="preserve">154/5 </w:t>
      </w:r>
      <w:r w:rsidRPr="00782D76">
        <w:rPr>
          <w:sz w:val="32"/>
          <w:szCs w:val="32"/>
          <w:rtl/>
        </w:rPr>
        <w:t>من قانون المرافعات</w:t>
      </w:r>
      <w:r w:rsidRPr="00782D76">
        <w:rPr>
          <w:sz w:val="32"/>
          <w:szCs w:val="32"/>
        </w:rPr>
        <w:t xml:space="preserve">. </w:t>
      </w:r>
    </w:p>
    <w:p w:rsidR="00782D76" w:rsidRPr="00782D76" w:rsidRDefault="00782D76" w:rsidP="00782D76">
      <w:pPr>
        <w:rPr>
          <w:sz w:val="32"/>
          <w:szCs w:val="32"/>
        </w:rPr>
      </w:pPr>
      <w:bookmarkStart w:id="17" w:name="Anchor285"/>
      <w:bookmarkEnd w:id="17"/>
      <w:r w:rsidRPr="00782D76">
        <w:rPr>
          <w:sz w:val="32"/>
          <w:szCs w:val="32"/>
          <w:rtl/>
        </w:rPr>
        <w:t>لذلك</w:t>
      </w:r>
    </w:p>
    <w:p w:rsidR="00782D76" w:rsidRPr="00782D76" w:rsidRDefault="00782D76" w:rsidP="00782D76">
      <w:pPr>
        <w:rPr>
          <w:sz w:val="32"/>
          <w:szCs w:val="32"/>
        </w:rPr>
      </w:pPr>
      <w:bookmarkStart w:id="18" w:name="Anchor286"/>
      <w:bookmarkEnd w:id="18"/>
      <w:r w:rsidRPr="00782D76">
        <w:rPr>
          <w:sz w:val="32"/>
          <w:szCs w:val="32"/>
          <w:rtl/>
        </w:rPr>
        <w:t>قررت المحكمة - في غرفة المشورة</w:t>
      </w:r>
      <w:r w:rsidRPr="00782D76">
        <w:rPr>
          <w:sz w:val="32"/>
          <w:szCs w:val="32"/>
        </w:rPr>
        <w:t xml:space="preserve"> - </w:t>
      </w:r>
      <w:r w:rsidRPr="00782D76">
        <w:rPr>
          <w:sz w:val="32"/>
          <w:szCs w:val="32"/>
          <w:rtl/>
        </w:rPr>
        <w:t>عدم قبول الطعن وألزمت الطاعنة المصروفات مع مصادرة الكفالة</w:t>
      </w:r>
      <w:r w:rsidRPr="00782D76">
        <w:rPr>
          <w:sz w:val="32"/>
          <w:szCs w:val="32"/>
        </w:rPr>
        <w:t>.</w:t>
      </w:r>
    </w:p>
    <w:p w:rsidR="00782D76" w:rsidRPr="00782D76" w:rsidRDefault="00782D76" w:rsidP="00782D76">
      <w:pPr>
        <w:rPr>
          <w:sz w:val="32"/>
          <w:szCs w:val="32"/>
        </w:rPr>
      </w:pPr>
    </w:p>
    <w:p w:rsidR="00782D76" w:rsidRPr="00782D76" w:rsidRDefault="00782D76" w:rsidP="00782D76">
      <w:pPr>
        <w:rPr>
          <w:sz w:val="32"/>
          <w:szCs w:val="32"/>
        </w:rPr>
      </w:pPr>
      <w:bookmarkStart w:id="19" w:name="Anchor295"/>
      <w:bookmarkEnd w:id="19"/>
      <w:r w:rsidRPr="00782D76">
        <w:rPr>
          <w:sz w:val="32"/>
          <w:szCs w:val="32"/>
        </w:rPr>
        <w:t>* * *</w:t>
      </w:r>
    </w:p>
    <w:p w:rsidR="00D32E0F" w:rsidRPr="00782D76" w:rsidRDefault="00D32E0F">
      <w:pPr>
        <w:rPr>
          <w:sz w:val="32"/>
          <w:szCs w:val="32"/>
        </w:rPr>
      </w:pPr>
    </w:p>
    <w:sectPr w:rsidR="00D32E0F" w:rsidRPr="00782D7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8A"/>
    <w:rsid w:val="0003272B"/>
    <w:rsid w:val="00782D76"/>
    <w:rsid w:val="00B8168A"/>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D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D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963982">
      <w:bodyDiv w:val="1"/>
      <w:marLeft w:val="0"/>
      <w:marRight w:val="0"/>
      <w:marTop w:val="0"/>
      <w:marBottom w:val="0"/>
      <w:divBdr>
        <w:top w:val="none" w:sz="0" w:space="0" w:color="auto"/>
        <w:left w:val="none" w:sz="0" w:space="0" w:color="auto"/>
        <w:bottom w:val="none" w:sz="0" w:space="0" w:color="auto"/>
        <w:right w:val="none" w:sz="0" w:space="0" w:color="auto"/>
      </w:divBdr>
      <w:divsChild>
        <w:div w:id="1372455975">
          <w:marLeft w:val="0"/>
          <w:marRight w:val="0"/>
          <w:marTop w:val="0"/>
          <w:marBottom w:val="0"/>
          <w:divBdr>
            <w:top w:val="none" w:sz="0" w:space="0" w:color="auto"/>
            <w:left w:val="none" w:sz="0" w:space="0" w:color="auto"/>
            <w:bottom w:val="none" w:sz="0" w:space="0" w:color="auto"/>
            <w:right w:val="none" w:sz="0" w:space="0" w:color="auto"/>
          </w:divBdr>
        </w:div>
        <w:div w:id="1734112230">
          <w:marLeft w:val="0"/>
          <w:marRight w:val="0"/>
          <w:marTop w:val="0"/>
          <w:marBottom w:val="0"/>
          <w:divBdr>
            <w:top w:val="none" w:sz="0" w:space="0" w:color="auto"/>
            <w:left w:val="none" w:sz="0" w:space="0" w:color="auto"/>
            <w:bottom w:val="none" w:sz="0" w:space="0" w:color="auto"/>
            <w:right w:val="none" w:sz="0" w:space="0" w:color="auto"/>
          </w:divBdr>
        </w:div>
        <w:div w:id="1479610876">
          <w:marLeft w:val="0"/>
          <w:marRight w:val="0"/>
          <w:marTop w:val="0"/>
          <w:marBottom w:val="0"/>
          <w:divBdr>
            <w:top w:val="none" w:sz="0" w:space="0" w:color="auto"/>
            <w:left w:val="none" w:sz="0" w:space="0" w:color="auto"/>
            <w:bottom w:val="none" w:sz="0" w:space="0" w:color="auto"/>
            <w:right w:val="none" w:sz="0" w:space="0" w:color="auto"/>
          </w:divBdr>
        </w:div>
        <w:div w:id="2044401390">
          <w:marLeft w:val="0"/>
          <w:marRight w:val="0"/>
          <w:marTop w:val="0"/>
          <w:marBottom w:val="0"/>
          <w:divBdr>
            <w:top w:val="none" w:sz="0" w:space="0" w:color="auto"/>
            <w:left w:val="none" w:sz="0" w:space="0" w:color="auto"/>
            <w:bottom w:val="none" w:sz="0" w:space="0" w:color="auto"/>
            <w:right w:val="none" w:sz="0" w:space="0" w:color="auto"/>
          </w:divBdr>
        </w:div>
        <w:div w:id="688410244">
          <w:marLeft w:val="0"/>
          <w:marRight w:val="0"/>
          <w:marTop w:val="0"/>
          <w:marBottom w:val="0"/>
          <w:divBdr>
            <w:top w:val="none" w:sz="0" w:space="0" w:color="auto"/>
            <w:left w:val="none" w:sz="0" w:space="0" w:color="auto"/>
            <w:bottom w:val="none" w:sz="0" w:space="0" w:color="auto"/>
            <w:right w:val="none" w:sz="0" w:space="0" w:color="auto"/>
          </w:divBdr>
        </w:div>
        <w:div w:id="1049769346">
          <w:marLeft w:val="0"/>
          <w:marRight w:val="0"/>
          <w:marTop w:val="0"/>
          <w:marBottom w:val="0"/>
          <w:divBdr>
            <w:top w:val="none" w:sz="0" w:space="0" w:color="auto"/>
            <w:left w:val="none" w:sz="0" w:space="0" w:color="auto"/>
            <w:bottom w:val="none" w:sz="0" w:space="0" w:color="auto"/>
            <w:right w:val="none" w:sz="0" w:space="0" w:color="auto"/>
          </w:divBdr>
        </w:div>
        <w:div w:id="1307322064">
          <w:marLeft w:val="0"/>
          <w:marRight w:val="0"/>
          <w:marTop w:val="0"/>
          <w:marBottom w:val="0"/>
          <w:divBdr>
            <w:top w:val="none" w:sz="0" w:space="0" w:color="auto"/>
            <w:left w:val="none" w:sz="0" w:space="0" w:color="auto"/>
            <w:bottom w:val="none" w:sz="0" w:space="0" w:color="auto"/>
            <w:right w:val="none" w:sz="0" w:space="0" w:color="auto"/>
          </w:divBdr>
        </w:div>
        <w:div w:id="175854666">
          <w:marLeft w:val="0"/>
          <w:marRight w:val="0"/>
          <w:marTop w:val="0"/>
          <w:marBottom w:val="0"/>
          <w:divBdr>
            <w:top w:val="none" w:sz="0" w:space="0" w:color="auto"/>
            <w:left w:val="none" w:sz="0" w:space="0" w:color="auto"/>
            <w:bottom w:val="none" w:sz="0" w:space="0" w:color="auto"/>
            <w:right w:val="none" w:sz="0" w:space="0" w:color="auto"/>
          </w:divBdr>
        </w:div>
        <w:div w:id="1239487365">
          <w:marLeft w:val="0"/>
          <w:marRight w:val="0"/>
          <w:marTop w:val="0"/>
          <w:marBottom w:val="0"/>
          <w:divBdr>
            <w:top w:val="none" w:sz="0" w:space="0" w:color="auto"/>
            <w:left w:val="none" w:sz="0" w:space="0" w:color="auto"/>
            <w:bottom w:val="none" w:sz="0" w:space="0" w:color="auto"/>
            <w:right w:val="none" w:sz="0" w:space="0" w:color="auto"/>
          </w:divBdr>
        </w:div>
        <w:div w:id="1398288221">
          <w:marLeft w:val="0"/>
          <w:marRight w:val="0"/>
          <w:marTop w:val="0"/>
          <w:marBottom w:val="0"/>
          <w:divBdr>
            <w:top w:val="none" w:sz="0" w:space="0" w:color="auto"/>
            <w:left w:val="none" w:sz="0" w:space="0" w:color="auto"/>
            <w:bottom w:val="none" w:sz="0" w:space="0" w:color="auto"/>
            <w:right w:val="none" w:sz="0" w:space="0" w:color="auto"/>
          </w:divBdr>
        </w:div>
        <w:div w:id="499321685">
          <w:marLeft w:val="0"/>
          <w:marRight w:val="0"/>
          <w:marTop w:val="0"/>
          <w:marBottom w:val="0"/>
          <w:divBdr>
            <w:top w:val="none" w:sz="0" w:space="0" w:color="auto"/>
            <w:left w:val="none" w:sz="0" w:space="0" w:color="auto"/>
            <w:bottom w:val="none" w:sz="0" w:space="0" w:color="auto"/>
            <w:right w:val="none" w:sz="0" w:space="0" w:color="auto"/>
          </w:divBdr>
        </w:div>
        <w:div w:id="1501701462">
          <w:marLeft w:val="0"/>
          <w:marRight w:val="0"/>
          <w:marTop w:val="0"/>
          <w:marBottom w:val="0"/>
          <w:divBdr>
            <w:top w:val="none" w:sz="0" w:space="0" w:color="auto"/>
            <w:left w:val="none" w:sz="0" w:space="0" w:color="auto"/>
            <w:bottom w:val="none" w:sz="0" w:space="0" w:color="auto"/>
            <w:right w:val="none" w:sz="0" w:space="0" w:color="auto"/>
          </w:divBdr>
        </w:div>
        <w:div w:id="1444885527">
          <w:marLeft w:val="0"/>
          <w:marRight w:val="0"/>
          <w:marTop w:val="0"/>
          <w:marBottom w:val="0"/>
          <w:divBdr>
            <w:top w:val="none" w:sz="0" w:space="0" w:color="auto"/>
            <w:left w:val="none" w:sz="0" w:space="0" w:color="auto"/>
            <w:bottom w:val="none" w:sz="0" w:space="0" w:color="auto"/>
            <w:right w:val="none" w:sz="0" w:space="0" w:color="auto"/>
          </w:divBdr>
        </w:div>
        <w:div w:id="1746337980">
          <w:marLeft w:val="0"/>
          <w:marRight w:val="0"/>
          <w:marTop w:val="0"/>
          <w:marBottom w:val="0"/>
          <w:divBdr>
            <w:top w:val="none" w:sz="0" w:space="0" w:color="auto"/>
            <w:left w:val="none" w:sz="0" w:space="0" w:color="auto"/>
            <w:bottom w:val="none" w:sz="0" w:space="0" w:color="auto"/>
            <w:right w:val="none" w:sz="0" w:space="0" w:color="auto"/>
          </w:divBdr>
        </w:div>
        <w:div w:id="657926201">
          <w:marLeft w:val="0"/>
          <w:marRight w:val="0"/>
          <w:marTop w:val="0"/>
          <w:marBottom w:val="0"/>
          <w:divBdr>
            <w:top w:val="none" w:sz="0" w:space="0" w:color="auto"/>
            <w:left w:val="none" w:sz="0" w:space="0" w:color="auto"/>
            <w:bottom w:val="none" w:sz="0" w:space="0" w:color="auto"/>
            <w:right w:val="none" w:sz="0" w:space="0" w:color="auto"/>
          </w:divBdr>
        </w:div>
      </w:divsChild>
    </w:div>
    <w:div w:id="1366439584">
      <w:bodyDiv w:val="1"/>
      <w:marLeft w:val="0"/>
      <w:marRight w:val="0"/>
      <w:marTop w:val="0"/>
      <w:marBottom w:val="0"/>
      <w:divBdr>
        <w:top w:val="none" w:sz="0" w:space="0" w:color="auto"/>
        <w:left w:val="none" w:sz="0" w:space="0" w:color="auto"/>
        <w:bottom w:val="none" w:sz="0" w:space="0" w:color="auto"/>
        <w:right w:val="none" w:sz="0" w:space="0" w:color="auto"/>
      </w:divBdr>
      <w:divsChild>
        <w:div w:id="372391825">
          <w:marLeft w:val="0"/>
          <w:marRight w:val="0"/>
          <w:marTop w:val="0"/>
          <w:marBottom w:val="0"/>
          <w:divBdr>
            <w:top w:val="none" w:sz="0" w:space="0" w:color="auto"/>
            <w:left w:val="none" w:sz="0" w:space="0" w:color="auto"/>
            <w:bottom w:val="none" w:sz="0" w:space="0" w:color="auto"/>
            <w:right w:val="none" w:sz="0" w:space="0" w:color="auto"/>
          </w:divBdr>
        </w:div>
        <w:div w:id="756168967">
          <w:marLeft w:val="0"/>
          <w:marRight w:val="0"/>
          <w:marTop w:val="0"/>
          <w:marBottom w:val="0"/>
          <w:divBdr>
            <w:top w:val="none" w:sz="0" w:space="0" w:color="auto"/>
            <w:left w:val="none" w:sz="0" w:space="0" w:color="auto"/>
            <w:bottom w:val="none" w:sz="0" w:space="0" w:color="auto"/>
            <w:right w:val="none" w:sz="0" w:space="0" w:color="auto"/>
          </w:divBdr>
        </w:div>
        <w:div w:id="1652099055">
          <w:marLeft w:val="0"/>
          <w:marRight w:val="0"/>
          <w:marTop w:val="0"/>
          <w:marBottom w:val="0"/>
          <w:divBdr>
            <w:top w:val="none" w:sz="0" w:space="0" w:color="auto"/>
            <w:left w:val="none" w:sz="0" w:space="0" w:color="auto"/>
            <w:bottom w:val="none" w:sz="0" w:space="0" w:color="auto"/>
            <w:right w:val="none" w:sz="0" w:space="0" w:color="auto"/>
          </w:divBdr>
        </w:div>
        <w:div w:id="1697467221">
          <w:marLeft w:val="0"/>
          <w:marRight w:val="0"/>
          <w:marTop w:val="0"/>
          <w:marBottom w:val="0"/>
          <w:divBdr>
            <w:top w:val="none" w:sz="0" w:space="0" w:color="auto"/>
            <w:left w:val="none" w:sz="0" w:space="0" w:color="auto"/>
            <w:bottom w:val="none" w:sz="0" w:space="0" w:color="auto"/>
            <w:right w:val="none" w:sz="0" w:space="0" w:color="auto"/>
          </w:divBdr>
        </w:div>
        <w:div w:id="176316818">
          <w:marLeft w:val="0"/>
          <w:marRight w:val="0"/>
          <w:marTop w:val="0"/>
          <w:marBottom w:val="0"/>
          <w:divBdr>
            <w:top w:val="none" w:sz="0" w:space="0" w:color="auto"/>
            <w:left w:val="none" w:sz="0" w:space="0" w:color="auto"/>
            <w:bottom w:val="none" w:sz="0" w:space="0" w:color="auto"/>
            <w:right w:val="none" w:sz="0" w:space="0" w:color="auto"/>
          </w:divBdr>
        </w:div>
        <w:div w:id="1389064403">
          <w:marLeft w:val="0"/>
          <w:marRight w:val="0"/>
          <w:marTop w:val="0"/>
          <w:marBottom w:val="0"/>
          <w:divBdr>
            <w:top w:val="none" w:sz="0" w:space="0" w:color="auto"/>
            <w:left w:val="none" w:sz="0" w:space="0" w:color="auto"/>
            <w:bottom w:val="none" w:sz="0" w:space="0" w:color="auto"/>
            <w:right w:val="none" w:sz="0" w:space="0" w:color="auto"/>
          </w:divBdr>
        </w:div>
        <w:div w:id="1852335064">
          <w:marLeft w:val="0"/>
          <w:marRight w:val="0"/>
          <w:marTop w:val="0"/>
          <w:marBottom w:val="0"/>
          <w:divBdr>
            <w:top w:val="none" w:sz="0" w:space="0" w:color="auto"/>
            <w:left w:val="none" w:sz="0" w:space="0" w:color="auto"/>
            <w:bottom w:val="none" w:sz="0" w:space="0" w:color="auto"/>
            <w:right w:val="none" w:sz="0" w:space="0" w:color="auto"/>
          </w:divBdr>
        </w:div>
        <w:div w:id="74788943">
          <w:marLeft w:val="0"/>
          <w:marRight w:val="0"/>
          <w:marTop w:val="0"/>
          <w:marBottom w:val="0"/>
          <w:divBdr>
            <w:top w:val="none" w:sz="0" w:space="0" w:color="auto"/>
            <w:left w:val="none" w:sz="0" w:space="0" w:color="auto"/>
            <w:bottom w:val="none" w:sz="0" w:space="0" w:color="auto"/>
            <w:right w:val="none" w:sz="0" w:space="0" w:color="auto"/>
          </w:divBdr>
        </w:div>
        <w:div w:id="1491360462">
          <w:marLeft w:val="0"/>
          <w:marRight w:val="0"/>
          <w:marTop w:val="0"/>
          <w:marBottom w:val="0"/>
          <w:divBdr>
            <w:top w:val="none" w:sz="0" w:space="0" w:color="auto"/>
            <w:left w:val="none" w:sz="0" w:space="0" w:color="auto"/>
            <w:bottom w:val="none" w:sz="0" w:space="0" w:color="auto"/>
            <w:right w:val="none" w:sz="0" w:space="0" w:color="auto"/>
          </w:divBdr>
        </w:div>
        <w:div w:id="973605476">
          <w:marLeft w:val="0"/>
          <w:marRight w:val="0"/>
          <w:marTop w:val="0"/>
          <w:marBottom w:val="0"/>
          <w:divBdr>
            <w:top w:val="none" w:sz="0" w:space="0" w:color="auto"/>
            <w:left w:val="none" w:sz="0" w:space="0" w:color="auto"/>
            <w:bottom w:val="none" w:sz="0" w:space="0" w:color="auto"/>
            <w:right w:val="none" w:sz="0" w:space="0" w:color="auto"/>
          </w:divBdr>
        </w:div>
        <w:div w:id="399403135">
          <w:marLeft w:val="0"/>
          <w:marRight w:val="0"/>
          <w:marTop w:val="0"/>
          <w:marBottom w:val="0"/>
          <w:divBdr>
            <w:top w:val="none" w:sz="0" w:space="0" w:color="auto"/>
            <w:left w:val="none" w:sz="0" w:space="0" w:color="auto"/>
            <w:bottom w:val="none" w:sz="0" w:space="0" w:color="auto"/>
            <w:right w:val="none" w:sz="0" w:space="0" w:color="auto"/>
          </w:divBdr>
        </w:div>
        <w:div w:id="75787799">
          <w:marLeft w:val="0"/>
          <w:marRight w:val="0"/>
          <w:marTop w:val="0"/>
          <w:marBottom w:val="0"/>
          <w:divBdr>
            <w:top w:val="none" w:sz="0" w:space="0" w:color="auto"/>
            <w:left w:val="none" w:sz="0" w:space="0" w:color="auto"/>
            <w:bottom w:val="none" w:sz="0" w:space="0" w:color="auto"/>
            <w:right w:val="none" w:sz="0" w:space="0" w:color="auto"/>
          </w:divBdr>
        </w:div>
        <w:div w:id="38209647">
          <w:marLeft w:val="0"/>
          <w:marRight w:val="0"/>
          <w:marTop w:val="0"/>
          <w:marBottom w:val="0"/>
          <w:divBdr>
            <w:top w:val="none" w:sz="0" w:space="0" w:color="auto"/>
            <w:left w:val="none" w:sz="0" w:space="0" w:color="auto"/>
            <w:bottom w:val="none" w:sz="0" w:space="0" w:color="auto"/>
            <w:right w:val="none" w:sz="0" w:space="0" w:color="auto"/>
          </w:divBdr>
        </w:div>
        <w:div w:id="127939459">
          <w:marLeft w:val="0"/>
          <w:marRight w:val="0"/>
          <w:marTop w:val="0"/>
          <w:marBottom w:val="0"/>
          <w:divBdr>
            <w:top w:val="none" w:sz="0" w:space="0" w:color="auto"/>
            <w:left w:val="none" w:sz="0" w:space="0" w:color="auto"/>
            <w:bottom w:val="none" w:sz="0" w:space="0" w:color="auto"/>
            <w:right w:val="none" w:sz="0" w:space="0" w:color="auto"/>
          </w:divBdr>
        </w:div>
        <w:div w:id="901907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2020-04-26T13:14:00Z</dcterms:created>
  <dcterms:modified xsi:type="dcterms:W3CDTF">2020-04-26T13:14:00Z</dcterms:modified>
</cp:coreProperties>
</file>