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B8A" w:rsidRPr="000E0B8A" w:rsidRDefault="000E0B8A" w:rsidP="000E0B8A">
      <w:pPr>
        <w:jc w:val="center"/>
        <w:rPr>
          <w:sz w:val="32"/>
          <w:szCs w:val="32"/>
        </w:rPr>
      </w:pPr>
      <w:bookmarkStart w:id="0" w:name="Anchor1"/>
      <w:bookmarkEnd w:id="0"/>
      <w:r w:rsidRPr="000E0B8A">
        <w:rPr>
          <w:sz w:val="32"/>
          <w:szCs w:val="32"/>
          <w:rtl/>
        </w:rPr>
        <w:t>الطعن رق</w:t>
      </w:r>
      <w:bookmarkStart w:id="1" w:name="_GoBack"/>
      <w:bookmarkEnd w:id="1"/>
      <w:r w:rsidRPr="000E0B8A">
        <w:rPr>
          <w:sz w:val="32"/>
          <w:szCs w:val="32"/>
          <w:rtl/>
        </w:rPr>
        <w:t xml:space="preserve">م 632 لسنة </w:t>
      </w:r>
      <w:r w:rsidRPr="000E0B8A">
        <w:rPr>
          <w:sz w:val="32"/>
          <w:szCs w:val="32"/>
        </w:rPr>
        <w:t>2012</w:t>
      </w:r>
    </w:p>
    <w:p w:rsidR="000E0B8A" w:rsidRPr="000E0B8A" w:rsidRDefault="000E0B8A" w:rsidP="000E0B8A">
      <w:pPr>
        <w:rPr>
          <w:sz w:val="32"/>
          <w:szCs w:val="32"/>
        </w:rPr>
      </w:pPr>
      <w:bookmarkStart w:id="2" w:name="Anchor8"/>
      <w:bookmarkEnd w:id="2"/>
      <w:r w:rsidRPr="000E0B8A">
        <w:rPr>
          <w:sz w:val="32"/>
          <w:szCs w:val="32"/>
          <w:rtl/>
        </w:rPr>
        <w:t>هيئة المحكمة</w:t>
      </w:r>
      <w:r w:rsidRPr="000E0B8A">
        <w:rPr>
          <w:sz w:val="32"/>
          <w:szCs w:val="32"/>
        </w:rPr>
        <w:t xml:space="preserve">: </w:t>
      </w:r>
      <w:r w:rsidRPr="000E0B8A">
        <w:rPr>
          <w:sz w:val="32"/>
          <w:szCs w:val="32"/>
          <w:rtl/>
        </w:rPr>
        <w:t>برئاسة السيد المستشار ممدوح القزاز وكيل المحكمة وعضوية السادة المستشارين عبدالصبور خلف الله وفراج عباس وأحمد ابوضيف وعلي مرغني</w:t>
      </w:r>
    </w:p>
    <w:bookmarkStart w:id="3" w:name="Anchor22"/>
    <w:bookmarkEnd w:id="3"/>
    <w:p w:rsidR="000E0B8A" w:rsidRPr="000E0B8A" w:rsidRDefault="000E0B8A" w:rsidP="000E0B8A">
      <w:pPr>
        <w:rPr>
          <w:sz w:val="32"/>
          <w:szCs w:val="32"/>
        </w:rPr>
      </w:pPr>
      <w:r w:rsidRPr="000E0B8A">
        <w:rPr>
          <w:sz w:val="32"/>
          <w:szCs w:val="32"/>
        </w:rPr>
        <w:fldChar w:fldCharType="begin"/>
      </w:r>
      <w:r w:rsidRPr="000E0B8A">
        <w:rPr>
          <w:sz w:val="32"/>
          <w:szCs w:val="32"/>
        </w:rPr>
        <w:instrText xml:space="preserve"> HYPERLINK "http://www.law.gov.kw/KWT_CC-Ar/00_2014/00_%D8%A7%D9%84%D8%AF%D8%A7%D8%A6%D8%B1%D8%A9%20%D8%A7%D9%84%D8%AA%D8%AC%D8%A7%D8%B1%D9%8A%D8%A9/KWT-CC-Ar_2014-04-30_00632_Taan.html" \l "TM2014_632_1" </w:instrText>
      </w:r>
      <w:r w:rsidRPr="000E0B8A">
        <w:rPr>
          <w:sz w:val="32"/>
          <w:szCs w:val="32"/>
        </w:rPr>
        <w:fldChar w:fldCharType="separate"/>
      </w:r>
      <w:r w:rsidRPr="000E0B8A">
        <w:rPr>
          <w:rStyle w:val="Hyperlink"/>
          <w:sz w:val="32"/>
          <w:szCs w:val="32"/>
        </w:rPr>
        <w:t xml:space="preserve">1 – </w:t>
      </w:r>
      <w:r w:rsidRPr="000E0B8A">
        <w:rPr>
          <w:rStyle w:val="Hyperlink"/>
          <w:sz w:val="32"/>
          <w:szCs w:val="32"/>
          <w:rtl/>
        </w:rPr>
        <w:t>ان لمحكمة الموضوع سلطة تحصيل فهم الواقع في الدعوى وتفسير المستندات والعقود وسائر المحررات التي تقدم اليها واستخلاص ما تراه اوفى بمقصود عاقديها وتكيف التكييف القانوني الصحيح</w:t>
      </w:r>
      <w:r w:rsidRPr="000E0B8A">
        <w:rPr>
          <w:rStyle w:val="Hyperlink"/>
          <w:sz w:val="32"/>
          <w:szCs w:val="32"/>
        </w:rPr>
        <w:t>.</w:t>
      </w:r>
      <w:r w:rsidRPr="000E0B8A">
        <w:rPr>
          <w:sz w:val="32"/>
          <w:szCs w:val="32"/>
        </w:rPr>
        <w:fldChar w:fldCharType="end"/>
      </w:r>
    </w:p>
    <w:bookmarkStart w:id="4" w:name="Anchor44"/>
    <w:bookmarkEnd w:id="4"/>
    <w:p w:rsidR="000E0B8A" w:rsidRPr="000E0B8A" w:rsidRDefault="000E0B8A" w:rsidP="000E0B8A">
      <w:pPr>
        <w:rPr>
          <w:sz w:val="32"/>
          <w:szCs w:val="32"/>
        </w:rPr>
      </w:pPr>
      <w:r w:rsidRPr="000E0B8A">
        <w:rPr>
          <w:sz w:val="32"/>
          <w:szCs w:val="32"/>
        </w:rPr>
        <w:fldChar w:fldCharType="begin"/>
      </w:r>
      <w:r w:rsidRPr="000E0B8A">
        <w:rPr>
          <w:sz w:val="32"/>
          <w:szCs w:val="32"/>
        </w:rPr>
        <w:instrText xml:space="preserve"> HYPERLINK "http://www.law.gov.kw/KWT_CC-Ar/00_2014/00_%D8%A7%D9%84%D8%AF%D8%A7%D8%A6%D8%B1%D8%A9%20%D8%A7%D9%84%D8%AA%D8%AC%D8%A7%D8%B1%D9%8A%D8%A9/KWT-CC-Ar_2014-04-30_00632_Taan.html" \l "TM2014_632_2" </w:instrText>
      </w:r>
      <w:r w:rsidRPr="000E0B8A">
        <w:rPr>
          <w:sz w:val="32"/>
          <w:szCs w:val="32"/>
        </w:rPr>
        <w:fldChar w:fldCharType="separate"/>
      </w:r>
      <w:r w:rsidRPr="000E0B8A">
        <w:rPr>
          <w:rStyle w:val="Hyperlink"/>
          <w:sz w:val="32"/>
          <w:szCs w:val="32"/>
        </w:rPr>
        <w:t xml:space="preserve">2 – </w:t>
      </w:r>
      <w:r w:rsidRPr="000E0B8A">
        <w:rPr>
          <w:rStyle w:val="Hyperlink"/>
          <w:sz w:val="32"/>
          <w:szCs w:val="32"/>
          <w:rtl/>
        </w:rPr>
        <w:t>ان لمحكمة الموضوع الأخذ بتقرير الخبير المودع في دعوى اخرى طالما اطمأنت اليه واقتنعت بصحته</w:t>
      </w:r>
      <w:r w:rsidRPr="000E0B8A">
        <w:rPr>
          <w:rStyle w:val="Hyperlink"/>
          <w:sz w:val="32"/>
          <w:szCs w:val="32"/>
        </w:rPr>
        <w:t>.</w:t>
      </w:r>
      <w:r w:rsidRPr="000E0B8A">
        <w:rPr>
          <w:sz w:val="32"/>
          <w:szCs w:val="32"/>
        </w:rPr>
        <w:fldChar w:fldCharType="end"/>
      </w:r>
    </w:p>
    <w:bookmarkStart w:id="5" w:name="Anchor55"/>
    <w:bookmarkEnd w:id="5"/>
    <w:p w:rsidR="000E0B8A" w:rsidRPr="000E0B8A" w:rsidRDefault="000E0B8A" w:rsidP="000E0B8A">
      <w:pPr>
        <w:rPr>
          <w:sz w:val="32"/>
          <w:szCs w:val="32"/>
        </w:rPr>
      </w:pPr>
      <w:r w:rsidRPr="000E0B8A">
        <w:rPr>
          <w:sz w:val="32"/>
          <w:szCs w:val="32"/>
        </w:rPr>
        <w:fldChar w:fldCharType="begin"/>
      </w:r>
      <w:r w:rsidRPr="000E0B8A">
        <w:rPr>
          <w:sz w:val="32"/>
          <w:szCs w:val="32"/>
        </w:rPr>
        <w:instrText xml:space="preserve"> HYPERLINK "http://www.law.gov.kw/KWT_CC-Ar/00_2014/00_%D8%A7%D9%84%D8%AF%D8%A7%D8%A6%D8%B1%D8%A9%20%D8%A7%D9%84%D8%AA%D8%AC%D8%A7%D8%B1%D9%8A%D8%A9/KWT-CC-Ar_2014-04-30_00632_Taan.html" \l "TM2014_632_3" </w:instrText>
      </w:r>
      <w:r w:rsidRPr="000E0B8A">
        <w:rPr>
          <w:sz w:val="32"/>
          <w:szCs w:val="32"/>
        </w:rPr>
        <w:fldChar w:fldCharType="separate"/>
      </w:r>
      <w:r w:rsidRPr="000E0B8A">
        <w:rPr>
          <w:rStyle w:val="Hyperlink"/>
          <w:sz w:val="32"/>
          <w:szCs w:val="32"/>
        </w:rPr>
        <w:t xml:space="preserve">3 – </w:t>
      </w:r>
      <w:r w:rsidRPr="000E0B8A">
        <w:rPr>
          <w:rStyle w:val="Hyperlink"/>
          <w:sz w:val="32"/>
          <w:szCs w:val="32"/>
          <w:rtl/>
        </w:rPr>
        <w:t>ان العقد شريعة المتعاقدين وهو القانون الخاص بالنسبة الى عاقديه فلا يجوز لأي منهما ان يستقل بنقضه او تعديله او الاعفاء منه الا في حدود ما يسمح به الاتفاق او القانون</w:t>
      </w:r>
      <w:r w:rsidRPr="000E0B8A">
        <w:rPr>
          <w:rStyle w:val="Hyperlink"/>
          <w:sz w:val="32"/>
          <w:szCs w:val="32"/>
        </w:rPr>
        <w:t>.</w:t>
      </w:r>
      <w:r w:rsidRPr="000E0B8A">
        <w:rPr>
          <w:sz w:val="32"/>
          <w:szCs w:val="32"/>
        </w:rPr>
        <w:fldChar w:fldCharType="end"/>
      </w:r>
    </w:p>
    <w:bookmarkStart w:id="6" w:name="Anchor72"/>
    <w:bookmarkEnd w:id="6"/>
    <w:p w:rsidR="000E0B8A" w:rsidRPr="000E0B8A" w:rsidRDefault="000E0B8A" w:rsidP="000E0B8A">
      <w:pPr>
        <w:rPr>
          <w:sz w:val="32"/>
          <w:szCs w:val="32"/>
        </w:rPr>
      </w:pPr>
      <w:r w:rsidRPr="000E0B8A">
        <w:rPr>
          <w:sz w:val="32"/>
          <w:szCs w:val="32"/>
        </w:rPr>
        <w:fldChar w:fldCharType="begin"/>
      </w:r>
      <w:r w:rsidRPr="000E0B8A">
        <w:rPr>
          <w:sz w:val="32"/>
          <w:szCs w:val="32"/>
        </w:rPr>
        <w:instrText xml:space="preserve"> HYPERLINK "http://www.law.gov.kw/KWT_CC-Ar/00_2014/00_%D8%A7%D9%84%D8%AF%D8%A7%D8%A6%D8%B1%D8%A9%20%D8%A7%D9%84%D8%AA%D8%AC%D8%A7%D8%B1%D9%8A%D8%A9/KWT-CC-Ar_2014-04-30_00632_Taan.html" \l "TM2014_632_4" </w:instrText>
      </w:r>
      <w:r w:rsidRPr="000E0B8A">
        <w:rPr>
          <w:sz w:val="32"/>
          <w:szCs w:val="32"/>
        </w:rPr>
        <w:fldChar w:fldCharType="separate"/>
      </w:r>
      <w:r w:rsidRPr="000E0B8A">
        <w:rPr>
          <w:rStyle w:val="Hyperlink"/>
          <w:sz w:val="32"/>
          <w:szCs w:val="32"/>
        </w:rPr>
        <w:t xml:space="preserve">4 – </w:t>
      </w:r>
      <w:r w:rsidRPr="000E0B8A">
        <w:rPr>
          <w:rStyle w:val="Hyperlink"/>
          <w:sz w:val="32"/>
          <w:szCs w:val="32"/>
          <w:rtl/>
        </w:rPr>
        <w:t>ان العبرة في التزام المحكمة حدود الطلبات المقدم اليها هي بالطلبات الختامية التي أبدت امامها بصورة صريحة حازمة</w:t>
      </w:r>
      <w:r w:rsidRPr="000E0B8A">
        <w:rPr>
          <w:rStyle w:val="Hyperlink"/>
          <w:sz w:val="32"/>
          <w:szCs w:val="32"/>
        </w:rPr>
        <w:t>.</w:t>
      </w:r>
      <w:r w:rsidRPr="000E0B8A">
        <w:rPr>
          <w:sz w:val="32"/>
          <w:szCs w:val="32"/>
        </w:rPr>
        <w:fldChar w:fldCharType="end"/>
      </w:r>
    </w:p>
    <w:bookmarkStart w:id="7" w:name="Anchor85"/>
    <w:bookmarkEnd w:id="7"/>
    <w:p w:rsidR="000E0B8A" w:rsidRPr="000E0B8A" w:rsidRDefault="000E0B8A" w:rsidP="000E0B8A">
      <w:pPr>
        <w:rPr>
          <w:sz w:val="32"/>
          <w:szCs w:val="32"/>
        </w:rPr>
      </w:pPr>
      <w:r w:rsidRPr="000E0B8A">
        <w:rPr>
          <w:sz w:val="32"/>
          <w:szCs w:val="32"/>
        </w:rPr>
        <w:fldChar w:fldCharType="begin"/>
      </w:r>
      <w:r w:rsidRPr="000E0B8A">
        <w:rPr>
          <w:sz w:val="32"/>
          <w:szCs w:val="32"/>
        </w:rPr>
        <w:instrText xml:space="preserve"> HYPERLINK "http://www.law.gov.kw/KWT_CC-Ar/00_2014/00_%D8%A7%D9%84%D8%AF%D8%A7%D8%A6%D8%B1%D8%A9%20%D8%A7%D9%84%D8%AA%D8%AC%D8%A7%D8%B1%D9%8A%D8%A9/KWT-CC-Ar_2014-04-30_00632_Taan.html" \l "TM2014_632_5" </w:instrText>
      </w:r>
      <w:r w:rsidRPr="000E0B8A">
        <w:rPr>
          <w:sz w:val="32"/>
          <w:szCs w:val="32"/>
        </w:rPr>
        <w:fldChar w:fldCharType="separate"/>
      </w:r>
      <w:r w:rsidRPr="000E0B8A">
        <w:rPr>
          <w:rStyle w:val="Hyperlink"/>
          <w:sz w:val="32"/>
          <w:szCs w:val="32"/>
        </w:rPr>
        <w:t xml:space="preserve">5 – </w:t>
      </w:r>
      <w:r w:rsidRPr="000E0B8A">
        <w:rPr>
          <w:rStyle w:val="Hyperlink"/>
          <w:sz w:val="32"/>
          <w:szCs w:val="32"/>
          <w:rtl/>
        </w:rPr>
        <w:t>ان الحكم الابتدائي قد قضى للمطعون ضده بالطلبات الواردة بمذكرة دفاعه والزم البنك بأن يؤدي له قروض الاستقطاع بالزيادة عن 50</w:t>
      </w:r>
      <w:r w:rsidRPr="000E0B8A">
        <w:rPr>
          <w:rStyle w:val="Hyperlink"/>
          <w:sz w:val="32"/>
          <w:szCs w:val="32"/>
        </w:rPr>
        <w:t xml:space="preserve">% </w:t>
      </w:r>
      <w:r w:rsidRPr="000E0B8A">
        <w:rPr>
          <w:rStyle w:val="Hyperlink"/>
          <w:sz w:val="32"/>
          <w:szCs w:val="32"/>
          <w:rtl/>
        </w:rPr>
        <w:t>من راتبه ومن ثم يكون الحكم صحيحا</w:t>
      </w:r>
      <w:r w:rsidRPr="000E0B8A">
        <w:rPr>
          <w:rStyle w:val="Hyperlink"/>
          <w:sz w:val="32"/>
          <w:szCs w:val="32"/>
        </w:rPr>
        <w:t>.</w:t>
      </w:r>
      <w:r w:rsidRPr="000E0B8A">
        <w:rPr>
          <w:sz w:val="32"/>
          <w:szCs w:val="32"/>
        </w:rPr>
        <w:fldChar w:fldCharType="end"/>
      </w:r>
      <w:r w:rsidRPr="000E0B8A">
        <w:rPr>
          <w:sz w:val="32"/>
          <w:szCs w:val="32"/>
        </w:rPr>
        <w:br/>
      </w:r>
      <w:r w:rsidRPr="000E0B8A">
        <w:rPr>
          <w:sz w:val="32"/>
          <w:szCs w:val="32"/>
        </w:rPr>
        <w:br/>
      </w:r>
      <w:r w:rsidRPr="000E0B8A">
        <w:rPr>
          <w:sz w:val="32"/>
          <w:szCs w:val="32"/>
          <w:u w:val="single"/>
          <w:rtl/>
        </w:rPr>
        <w:t>ملاحظة</w:t>
      </w:r>
      <w:r w:rsidRPr="000E0B8A">
        <w:rPr>
          <w:sz w:val="32"/>
          <w:szCs w:val="32"/>
          <w:u w:val="single"/>
        </w:rPr>
        <w:t xml:space="preserve"> :</w:t>
      </w:r>
      <w:r w:rsidRPr="000E0B8A">
        <w:rPr>
          <w:sz w:val="32"/>
          <w:szCs w:val="32"/>
        </w:rPr>
        <w:br/>
      </w:r>
      <w:r w:rsidRPr="000E0B8A">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0E0B8A" w:rsidRPr="000E0B8A" w:rsidRDefault="000E0B8A" w:rsidP="000E0B8A">
      <w:pPr>
        <w:rPr>
          <w:sz w:val="32"/>
          <w:szCs w:val="32"/>
        </w:rPr>
      </w:pPr>
      <w:bookmarkStart w:id="8" w:name="Anchor101"/>
      <w:bookmarkEnd w:id="8"/>
      <w:r w:rsidRPr="000E0B8A">
        <w:rPr>
          <w:b/>
          <w:bCs/>
          <w:sz w:val="32"/>
          <w:szCs w:val="32"/>
          <w:rtl/>
        </w:rPr>
        <w:t>المحكمة</w:t>
      </w:r>
    </w:p>
    <w:p w:rsidR="000E0B8A" w:rsidRPr="000E0B8A" w:rsidRDefault="000E0B8A" w:rsidP="000E0B8A">
      <w:pPr>
        <w:rPr>
          <w:sz w:val="32"/>
          <w:szCs w:val="32"/>
        </w:rPr>
      </w:pPr>
      <w:bookmarkStart w:id="9" w:name="Anchor102"/>
      <w:bookmarkEnd w:id="9"/>
      <w:r w:rsidRPr="000E0B8A">
        <w:rPr>
          <w:sz w:val="32"/>
          <w:szCs w:val="32"/>
          <w:rtl/>
        </w:rPr>
        <w:t>بعد الاطلاع على الأوراق ، والمداولة</w:t>
      </w:r>
      <w:r w:rsidRPr="000E0B8A">
        <w:rPr>
          <w:sz w:val="32"/>
          <w:szCs w:val="32"/>
        </w:rPr>
        <w:t>.</w:t>
      </w:r>
    </w:p>
    <w:p w:rsidR="000E0B8A" w:rsidRPr="000E0B8A" w:rsidRDefault="000E0B8A" w:rsidP="000E0B8A">
      <w:pPr>
        <w:rPr>
          <w:sz w:val="32"/>
          <w:szCs w:val="32"/>
        </w:rPr>
      </w:pPr>
      <w:bookmarkStart w:id="10" w:name="Anchor107"/>
      <w:bookmarkStart w:id="11" w:name="TM2014_632_1"/>
      <w:bookmarkEnd w:id="10"/>
      <w:bookmarkEnd w:id="11"/>
      <w:r w:rsidRPr="000E0B8A">
        <w:rPr>
          <w:b/>
          <w:bCs/>
          <w:sz w:val="32"/>
          <w:szCs w:val="32"/>
          <w:rtl/>
        </w:rPr>
        <w:t>لما كان من المقرر أن لمحكمة الموضوع سلطة تحصيل وفهم الواقع في الدعوى وتفسير المستندات والعقود وسائر المحررات التي تقدم إليها واستخلاص ما تراه اوفى بمقصود عاقديها وتكيف التكييف القانوني الصحيح مستعينة في ذلك بظروف الدعوى وملابساتها،</w:t>
      </w:r>
    </w:p>
    <w:p w:rsidR="000E0B8A" w:rsidRPr="000E0B8A" w:rsidRDefault="000E0B8A" w:rsidP="000E0B8A">
      <w:pPr>
        <w:rPr>
          <w:sz w:val="32"/>
          <w:szCs w:val="32"/>
        </w:rPr>
      </w:pPr>
      <w:bookmarkStart w:id="12" w:name="Anchor133"/>
      <w:bookmarkStart w:id="13" w:name="TM2014_632_2"/>
      <w:bookmarkEnd w:id="12"/>
      <w:bookmarkEnd w:id="13"/>
      <w:r w:rsidRPr="000E0B8A">
        <w:rPr>
          <w:b/>
          <w:bCs/>
          <w:sz w:val="32"/>
          <w:szCs w:val="32"/>
          <w:rtl/>
        </w:rPr>
        <w:lastRenderedPageBreak/>
        <w:t>ولها الأخذ بتقرير الخبير المودع في دعوى اخرى</w:t>
      </w:r>
      <w:r w:rsidRPr="000E0B8A">
        <w:rPr>
          <w:b/>
          <w:bCs/>
          <w:sz w:val="32"/>
          <w:szCs w:val="32"/>
        </w:rPr>
        <w:t xml:space="preserve">. </w:t>
      </w:r>
      <w:r w:rsidRPr="000E0B8A">
        <w:rPr>
          <w:b/>
          <w:bCs/>
          <w:sz w:val="32"/>
          <w:szCs w:val="32"/>
          <w:rtl/>
        </w:rPr>
        <w:t>طالما كان متضمناً لأوراق الدعوى وكانت قد اطمأنت إليه واقتنعت بصحة أسبابه</w:t>
      </w:r>
    </w:p>
    <w:p w:rsidR="000E0B8A" w:rsidRPr="000E0B8A" w:rsidRDefault="000E0B8A" w:rsidP="000E0B8A">
      <w:pPr>
        <w:rPr>
          <w:sz w:val="32"/>
          <w:szCs w:val="32"/>
        </w:rPr>
      </w:pPr>
      <w:bookmarkStart w:id="14" w:name="Anchor146"/>
      <w:bookmarkStart w:id="15" w:name="TM2014_632_3"/>
      <w:bookmarkEnd w:id="14"/>
      <w:bookmarkEnd w:id="15"/>
      <w:r w:rsidRPr="000E0B8A">
        <w:rPr>
          <w:b/>
          <w:bCs/>
          <w:sz w:val="32"/>
          <w:szCs w:val="32"/>
          <w:rtl/>
        </w:rPr>
        <w:t>ومن المقرر أن العقد شريعة المتعاقدين فيعتبر بالنسبة إلى عاقديه القانون أو قانون خاص بهما فلا يجوز لأيهما أن يستقل بنقضه او تعديل أحكامه أو الاعفاء من أثاره الا في حدود ما يسمح به الاتفاق أو يقضي به القانون ويخضع نطاق العقد ومضمونه وما يرد عليه من تعديل بموافقة طرفيه لقانون العقد</w:t>
      </w:r>
      <w:r w:rsidRPr="000E0B8A">
        <w:rPr>
          <w:b/>
          <w:bCs/>
          <w:sz w:val="32"/>
          <w:szCs w:val="32"/>
        </w:rPr>
        <w:t>.</w:t>
      </w:r>
      <w:r w:rsidRPr="000E0B8A">
        <w:rPr>
          <w:sz w:val="32"/>
          <w:szCs w:val="32"/>
        </w:rPr>
        <w:t xml:space="preserve"> </w:t>
      </w:r>
      <w:r w:rsidRPr="000E0B8A">
        <w:rPr>
          <w:sz w:val="32"/>
          <w:szCs w:val="32"/>
          <w:rtl/>
        </w:rPr>
        <w:t>لما كان ذلك وكان الحكم الابتدائي المؤيد والمكمل بالحكم المطعون فيه قد أقام قضاءه بالزام الطاعن بعدم استقطاع ما يجاوز 50% من راتب المطعون ضده كقسط شهري والزامه برد ما يكون ما تقاضاه بالزيادة عن هذه النسبة على ما استخلصه من الأوراق وما اطمأن إليه من تقرير الخبير المقدم في الدعوى المنضمة من أن البنك الطاعن قد خالف تعليمات البنك المركزي من أن بعض الأقساط ذات عن 50% من رابت المطعون ضده وأضاف الحكم المطعون فيه من ان الثابت من البند 4/2 من العقد سند الدعوى أنه قد اتفق فيه على أن تعديل سعر الفائدة الاتفاقية لا يؤثر على قيمة القسط المذكور حيث يظل ثابتاً وإنما قد تؤثر صعوداً أو هبوطاً على عدد الاقساط ومن ثم تكون قالة البنك الطاعن أن صعود سعر الفائدة يؤثر بالضرورة على قيمة القسط يخالف ما ورد باتم الاتفاق عليه بالبند سالف الذكر من العقد سند الدعوى وكان هذا الذي خلص إليه الحكم سائغاً وله معينه من الأوراق ويؤدي إلى النتيجة التي انتهى إليها ومن ثم فأن ما ينعاه الطاعن بالوجه الأول من سبب الطعن من أن العقد قد تضمن حق البنك في تعديل سعر الفائدة وزيادة قيمة القسط لا يعدو أن يكون جدلاً موضوعياً فيما لمحكمة الموضوع من سلطة تفسير العقود وفهم الواقع في الدعوى وهو ما لا يجوز إثارته أمام هذه المحكمة ومن ثم غير مقبول</w:t>
      </w:r>
      <w:r w:rsidRPr="000E0B8A">
        <w:rPr>
          <w:sz w:val="32"/>
          <w:szCs w:val="32"/>
        </w:rPr>
        <w:t>.</w:t>
      </w:r>
    </w:p>
    <w:p w:rsidR="000E0B8A" w:rsidRPr="000E0B8A" w:rsidRDefault="000E0B8A" w:rsidP="000E0B8A">
      <w:pPr>
        <w:rPr>
          <w:sz w:val="32"/>
          <w:szCs w:val="32"/>
        </w:rPr>
      </w:pPr>
      <w:bookmarkStart w:id="16" w:name="Anchor272"/>
      <w:bookmarkStart w:id="17" w:name="TM2014_632_4"/>
      <w:bookmarkEnd w:id="16"/>
      <w:bookmarkEnd w:id="17"/>
      <w:r w:rsidRPr="000E0B8A">
        <w:rPr>
          <w:b/>
          <w:bCs/>
          <w:sz w:val="32"/>
          <w:szCs w:val="32"/>
          <w:rtl/>
        </w:rPr>
        <w:t>وكان من المقرر أن العبرة في التزام المحكمة حدود الطلبات المقدمة إليها هي بالطلبات الختامية التي أبدت أمامها بصورة صريحة حازمة تقرع سمع المحكمة</w:t>
      </w:r>
      <w:r w:rsidRPr="000E0B8A">
        <w:rPr>
          <w:b/>
          <w:bCs/>
          <w:sz w:val="32"/>
          <w:szCs w:val="32"/>
        </w:rPr>
        <w:t>.</w:t>
      </w:r>
      <w:r w:rsidRPr="000E0B8A">
        <w:rPr>
          <w:sz w:val="32"/>
          <w:szCs w:val="32"/>
        </w:rPr>
        <w:t xml:space="preserve"> </w:t>
      </w:r>
    </w:p>
    <w:p w:rsidR="000E0B8A" w:rsidRPr="000E0B8A" w:rsidRDefault="000E0B8A" w:rsidP="000E0B8A">
      <w:pPr>
        <w:rPr>
          <w:sz w:val="32"/>
          <w:szCs w:val="32"/>
        </w:rPr>
      </w:pPr>
      <w:bookmarkStart w:id="18" w:name="Anchor288"/>
      <w:bookmarkStart w:id="19" w:name="TM2014_632_5"/>
      <w:bookmarkEnd w:id="18"/>
      <w:bookmarkEnd w:id="19"/>
      <w:r w:rsidRPr="000E0B8A">
        <w:rPr>
          <w:b/>
          <w:bCs/>
          <w:sz w:val="32"/>
          <w:szCs w:val="32"/>
          <w:rtl/>
        </w:rPr>
        <w:t>لما كان ذلك وكان المطعون ضده قد حدد طلباته الختامية حسبما أورد بمذكرة دفاعه المقدمة أمام محكمة أول درجة بجلسة 2011/10/26 بالزام البنك الطاعن بأن يؤدي له قروض الاستقطاع بالزيادة عن 50</w:t>
      </w:r>
      <w:r w:rsidRPr="000E0B8A">
        <w:rPr>
          <w:b/>
          <w:bCs/>
          <w:sz w:val="32"/>
          <w:szCs w:val="32"/>
        </w:rPr>
        <w:t xml:space="preserve">% </w:t>
      </w:r>
      <w:r w:rsidRPr="000E0B8A">
        <w:rPr>
          <w:b/>
          <w:bCs/>
          <w:sz w:val="32"/>
          <w:szCs w:val="32"/>
          <w:rtl/>
        </w:rPr>
        <w:t>من راتبه. وكان الحكم الابتدائي المؤيد بالحكم المطعون فيه قد قضى للمطعون ضده بهذه الطلبات ومن ثم يكون قد التزم بطلبات المدعي</w:t>
      </w:r>
      <w:r w:rsidRPr="000E0B8A">
        <w:rPr>
          <w:b/>
          <w:bCs/>
          <w:sz w:val="32"/>
          <w:szCs w:val="32"/>
        </w:rPr>
        <w:t xml:space="preserve">- </w:t>
      </w:r>
      <w:r w:rsidRPr="000E0B8A">
        <w:rPr>
          <w:b/>
          <w:bCs/>
          <w:sz w:val="32"/>
          <w:szCs w:val="32"/>
          <w:rtl/>
        </w:rPr>
        <w:t>المطعون ضده الختامية ومن ثم فإن ما ينعاه البنك الطاعن بالوجه الثاني من سبب الطعن يكون غير صحيح ويضحى الطعن برمته غير مقبول</w:t>
      </w:r>
      <w:r w:rsidRPr="000E0B8A">
        <w:rPr>
          <w:sz w:val="32"/>
          <w:szCs w:val="32"/>
          <w:rtl/>
        </w:rPr>
        <w:t xml:space="preserve"> مما تقرر معه المحكمة عدم قبول الطعن عملاً بالمادتين 152، 154/5 من قانون المرافعات</w:t>
      </w:r>
      <w:r w:rsidRPr="000E0B8A">
        <w:rPr>
          <w:sz w:val="32"/>
          <w:szCs w:val="32"/>
        </w:rPr>
        <w:t>.</w:t>
      </w:r>
    </w:p>
    <w:p w:rsidR="000E0B8A" w:rsidRPr="000E0B8A" w:rsidRDefault="000E0B8A" w:rsidP="000E0B8A">
      <w:pPr>
        <w:rPr>
          <w:sz w:val="32"/>
          <w:szCs w:val="32"/>
        </w:rPr>
      </w:pPr>
      <w:bookmarkStart w:id="20" w:name="Anchor334"/>
      <w:bookmarkEnd w:id="20"/>
      <w:r w:rsidRPr="000E0B8A">
        <w:rPr>
          <w:sz w:val="32"/>
          <w:szCs w:val="32"/>
          <w:rtl/>
        </w:rPr>
        <w:t>لذلك</w:t>
      </w:r>
    </w:p>
    <w:p w:rsidR="000E0B8A" w:rsidRPr="000E0B8A" w:rsidRDefault="000E0B8A" w:rsidP="000E0B8A">
      <w:pPr>
        <w:rPr>
          <w:sz w:val="32"/>
          <w:szCs w:val="32"/>
        </w:rPr>
      </w:pPr>
      <w:bookmarkStart w:id="21" w:name="Anchor335"/>
      <w:bookmarkEnd w:id="21"/>
      <w:r w:rsidRPr="000E0B8A">
        <w:rPr>
          <w:sz w:val="32"/>
          <w:szCs w:val="32"/>
          <w:rtl/>
        </w:rPr>
        <w:t>قررت المحكمة - في غرفة المشورة</w:t>
      </w:r>
      <w:r w:rsidRPr="000E0B8A">
        <w:rPr>
          <w:sz w:val="32"/>
          <w:szCs w:val="32"/>
        </w:rPr>
        <w:t xml:space="preserve"> - </w:t>
      </w:r>
      <w:r w:rsidRPr="000E0B8A">
        <w:rPr>
          <w:sz w:val="32"/>
          <w:szCs w:val="32"/>
          <w:rtl/>
        </w:rPr>
        <w:t>عدم قبول الطعن وألزمت الطاعن المصروفات مع مصادرة الكفالة</w:t>
      </w:r>
      <w:r w:rsidRPr="000E0B8A">
        <w:rPr>
          <w:sz w:val="32"/>
          <w:szCs w:val="32"/>
        </w:rPr>
        <w:t>.</w:t>
      </w:r>
    </w:p>
    <w:p w:rsidR="000E0B8A" w:rsidRPr="000E0B8A" w:rsidRDefault="000E0B8A" w:rsidP="000E0B8A">
      <w:pPr>
        <w:rPr>
          <w:sz w:val="32"/>
          <w:szCs w:val="32"/>
        </w:rPr>
      </w:pPr>
    </w:p>
    <w:p w:rsidR="000E0B8A" w:rsidRPr="000E0B8A" w:rsidRDefault="000E0B8A" w:rsidP="000E0B8A">
      <w:pPr>
        <w:rPr>
          <w:sz w:val="32"/>
          <w:szCs w:val="32"/>
        </w:rPr>
      </w:pPr>
      <w:bookmarkStart w:id="22" w:name="Anchor344"/>
      <w:bookmarkEnd w:id="22"/>
      <w:r w:rsidRPr="000E0B8A">
        <w:rPr>
          <w:sz w:val="32"/>
          <w:szCs w:val="32"/>
        </w:rPr>
        <w:t>* * *</w:t>
      </w:r>
    </w:p>
    <w:p w:rsidR="00D32E0F" w:rsidRPr="000E0B8A" w:rsidRDefault="00D32E0F">
      <w:pPr>
        <w:rPr>
          <w:sz w:val="32"/>
          <w:szCs w:val="32"/>
        </w:rPr>
      </w:pPr>
    </w:p>
    <w:sectPr w:rsidR="00D32E0F" w:rsidRPr="000E0B8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C0F"/>
    <w:rsid w:val="0003272B"/>
    <w:rsid w:val="000E0B8A"/>
    <w:rsid w:val="00826C0F"/>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B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B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9099">
      <w:bodyDiv w:val="1"/>
      <w:marLeft w:val="0"/>
      <w:marRight w:val="0"/>
      <w:marTop w:val="0"/>
      <w:marBottom w:val="0"/>
      <w:divBdr>
        <w:top w:val="none" w:sz="0" w:space="0" w:color="auto"/>
        <w:left w:val="none" w:sz="0" w:space="0" w:color="auto"/>
        <w:bottom w:val="none" w:sz="0" w:space="0" w:color="auto"/>
        <w:right w:val="none" w:sz="0" w:space="0" w:color="auto"/>
      </w:divBdr>
      <w:divsChild>
        <w:div w:id="1359239412">
          <w:marLeft w:val="0"/>
          <w:marRight w:val="0"/>
          <w:marTop w:val="0"/>
          <w:marBottom w:val="0"/>
          <w:divBdr>
            <w:top w:val="none" w:sz="0" w:space="0" w:color="auto"/>
            <w:left w:val="none" w:sz="0" w:space="0" w:color="auto"/>
            <w:bottom w:val="none" w:sz="0" w:space="0" w:color="auto"/>
            <w:right w:val="none" w:sz="0" w:space="0" w:color="auto"/>
          </w:divBdr>
        </w:div>
        <w:div w:id="622269278">
          <w:marLeft w:val="0"/>
          <w:marRight w:val="0"/>
          <w:marTop w:val="0"/>
          <w:marBottom w:val="0"/>
          <w:divBdr>
            <w:top w:val="none" w:sz="0" w:space="0" w:color="auto"/>
            <w:left w:val="none" w:sz="0" w:space="0" w:color="auto"/>
            <w:bottom w:val="none" w:sz="0" w:space="0" w:color="auto"/>
            <w:right w:val="none" w:sz="0" w:space="0" w:color="auto"/>
          </w:divBdr>
        </w:div>
        <w:div w:id="334261699">
          <w:marLeft w:val="0"/>
          <w:marRight w:val="0"/>
          <w:marTop w:val="0"/>
          <w:marBottom w:val="0"/>
          <w:divBdr>
            <w:top w:val="none" w:sz="0" w:space="0" w:color="auto"/>
            <w:left w:val="none" w:sz="0" w:space="0" w:color="auto"/>
            <w:bottom w:val="none" w:sz="0" w:space="0" w:color="auto"/>
            <w:right w:val="none" w:sz="0" w:space="0" w:color="auto"/>
          </w:divBdr>
        </w:div>
        <w:div w:id="209612561">
          <w:marLeft w:val="0"/>
          <w:marRight w:val="0"/>
          <w:marTop w:val="0"/>
          <w:marBottom w:val="0"/>
          <w:divBdr>
            <w:top w:val="none" w:sz="0" w:space="0" w:color="auto"/>
            <w:left w:val="none" w:sz="0" w:space="0" w:color="auto"/>
            <w:bottom w:val="none" w:sz="0" w:space="0" w:color="auto"/>
            <w:right w:val="none" w:sz="0" w:space="0" w:color="auto"/>
          </w:divBdr>
        </w:div>
        <w:div w:id="2009167903">
          <w:marLeft w:val="0"/>
          <w:marRight w:val="0"/>
          <w:marTop w:val="0"/>
          <w:marBottom w:val="0"/>
          <w:divBdr>
            <w:top w:val="none" w:sz="0" w:space="0" w:color="auto"/>
            <w:left w:val="none" w:sz="0" w:space="0" w:color="auto"/>
            <w:bottom w:val="none" w:sz="0" w:space="0" w:color="auto"/>
            <w:right w:val="none" w:sz="0" w:space="0" w:color="auto"/>
          </w:divBdr>
        </w:div>
        <w:div w:id="2038778113">
          <w:marLeft w:val="0"/>
          <w:marRight w:val="0"/>
          <w:marTop w:val="0"/>
          <w:marBottom w:val="0"/>
          <w:divBdr>
            <w:top w:val="none" w:sz="0" w:space="0" w:color="auto"/>
            <w:left w:val="none" w:sz="0" w:space="0" w:color="auto"/>
            <w:bottom w:val="none" w:sz="0" w:space="0" w:color="auto"/>
            <w:right w:val="none" w:sz="0" w:space="0" w:color="auto"/>
          </w:divBdr>
        </w:div>
        <w:div w:id="1225720343">
          <w:marLeft w:val="0"/>
          <w:marRight w:val="0"/>
          <w:marTop w:val="0"/>
          <w:marBottom w:val="0"/>
          <w:divBdr>
            <w:top w:val="none" w:sz="0" w:space="0" w:color="auto"/>
            <w:left w:val="none" w:sz="0" w:space="0" w:color="auto"/>
            <w:bottom w:val="none" w:sz="0" w:space="0" w:color="auto"/>
            <w:right w:val="none" w:sz="0" w:space="0" w:color="auto"/>
          </w:divBdr>
        </w:div>
        <w:div w:id="591666345">
          <w:marLeft w:val="0"/>
          <w:marRight w:val="0"/>
          <w:marTop w:val="0"/>
          <w:marBottom w:val="0"/>
          <w:divBdr>
            <w:top w:val="none" w:sz="0" w:space="0" w:color="auto"/>
            <w:left w:val="none" w:sz="0" w:space="0" w:color="auto"/>
            <w:bottom w:val="none" w:sz="0" w:space="0" w:color="auto"/>
            <w:right w:val="none" w:sz="0" w:space="0" w:color="auto"/>
          </w:divBdr>
        </w:div>
        <w:div w:id="190146675">
          <w:marLeft w:val="0"/>
          <w:marRight w:val="0"/>
          <w:marTop w:val="0"/>
          <w:marBottom w:val="0"/>
          <w:divBdr>
            <w:top w:val="none" w:sz="0" w:space="0" w:color="auto"/>
            <w:left w:val="none" w:sz="0" w:space="0" w:color="auto"/>
            <w:bottom w:val="none" w:sz="0" w:space="0" w:color="auto"/>
            <w:right w:val="none" w:sz="0" w:space="0" w:color="auto"/>
          </w:divBdr>
        </w:div>
        <w:div w:id="726684270">
          <w:marLeft w:val="0"/>
          <w:marRight w:val="0"/>
          <w:marTop w:val="0"/>
          <w:marBottom w:val="0"/>
          <w:divBdr>
            <w:top w:val="none" w:sz="0" w:space="0" w:color="auto"/>
            <w:left w:val="none" w:sz="0" w:space="0" w:color="auto"/>
            <w:bottom w:val="none" w:sz="0" w:space="0" w:color="auto"/>
            <w:right w:val="none" w:sz="0" w:space="0" w:color="auto"/>
          </w:divBdr>
        </w:div>
        <w:div w:id="1935047453">
          <w:marLeft w:val="0"/>
          <w:marRight w:val="0"/>
          <w:marTop w:val="0"/>
          <w:marBottom w:val="0"/>
          <w:divBdr>
            <w:top w:val="none" w:sz="0" w:space="0" w:color="auto"/>
            <w:left w:val="none" w:sz="0" w:space="0" w:color="auto"/>
            <w:bottom w:val="none" w:sz="0" w:space="0" w:color="auto"/>
            <w:right w:val="none" w:sz="0" w:space="0" w:color="auto"/>
          </w:divBdr>
        </w:div>
        <w:div w:id="1012952565">
          <w:marLeft w:val="0"/>
          <w:marRight w:val="0"/>
          <w:marTop w:val="0"/>
          <w:marBottom w:val="0"/>
          <w:divBdr>
            <w:top w:val="none" w:sz="0" w:space="0" w:color="auto"/>
            <w:left w:val="none" w:sz="0" w:space="0" w:color="auto"/>
            <w:bottom w:val="none" w:sz="0" w:space="0" w:color="auto"/>
            <w:right w:val="none" w:sz="0" w:space="0" w:color="auto"/>
          </w:divBdr>
        </w:div>
        <w:div w:id="112529567">
          <w:marLeft w:val="0"/>
          <w:marRight w:val="0"/>
          <w:marTop w:val="0"/>
          <w:marBottom w:val="0"/>
          <w:divBdr>
            <w:top w:val="none" w:sz="0" w:space="0" w:color="auto"/>
            <w:left w:val="none" w:sz="0" w:space="0" w:color="auto"/>
            <w:bottom w:val="none" w:sz="0" w:space="0" w:color="auto"/>
            <w:right w:val="none" w:sz="0" w:space="0" w:color="auto"/>
          </w:divBdr>
        </w:div>
        <w:div w:id="652025632">
          <w:marLeft w:val="0"/>
          <w:marRight w:val="0"/>
          <w:marTop w:val="0"/>
          <w:marBottom w:val="0"/>
          <w:divBdr>
            <w:top w:val="none" w:sz="0" w:space="0" w:color="auto"/>
            <w:left w:val="none" w:sz="0" w:space="0" w:color="auto"/>
            <w:bottom w:val="none" w:sz="0" w:space="0" w:color="auto"/>
            <w:right w:val="none" w:sz="0" w:space="0" w:color="auto"/>
          </w:divBdr>
        </w:div>
        <w:div w:id="213273285">
          <w:marLeft w:val="0"/>
          <w:marRight w:val="0"/>
          <w:marTop w:val="0"/>
          <w:marBottom w:val="0"/>
          <w:divBdr>
            <w:top w:val="none" w:sz="0" w:space="0" w:color="auto"/>
            <w:left w:val="none" w:sz="0" w:space="0" w:color="auto"/>
            <w:bottom w:val="none" w:sz="0" w:space="0" w:color="auto"/>
            <w:right w:val="none" w:sz="0" w:space="0" w:color="auto"/>
          </w:divBdr>
        </w:div>
        <w:div w:id="1953979040">
          <w:marLeft w:val="0"/>
          <w:marRight w:val="0"/>
          <w:marTop w:val="0"/>
          <w:marBottom w:val="0"/>
          <w:divBdr>
            <w:top w:val="none" w:sz="0" w:space="0" w:color="auto"/>
            <w:left w:val="none" w:sz="0" w:space="0" w:color="auto"/>
            <w:bottom w:val="none" w:sz="0" w:space="0" w:color="auto"/>
            <w:right w:val="none" w:sz="0" w:space="0" w:color="auto"/>
          </w:divBdr>
        </w:div>
        <w:div w:id="1100182740">
          <w:marLeft w:val="0"/>
          <w:marRight w:val="0"/>
          <w:marTop w:val="0"/>
          <w:marBottom w:val="0"/>
          <w:divBdr>
            <w:top w:val="none" w:sz="0" w:space="0" w:color="auto"/>
            <w:left w:val="none" w:sz="0" w:space="0" w:color="auto"/>
            <w:bottom w:val="none" w:sz="0" w:space="0" w:color="auto"/>
            <w:right w:val="none" w:sz="0" w:space="0" w:color="auto"/>
          </w:divBdr>
        </w:div>
      </w:divsChild>
    </w:div>
    <w:div w:id="777412817">
      <w:bodyDiv w:val="1"/>
      <w:marLeft w:val="0"/>
      <w:marRight w:val="0"/>
      <w:marTop w:val="0"/>
      <w:marBottom w:val="0"/>
      <w:divBdr>
        <w:top w:val="none" w:sz="0" w:space="0" w:color="auto"/>
        <w:left w:val="none" w:sz="0" w:space="0" w:color="auto"/>
        <w:bottom w:val="none" w:sz="0" w:space="0" w:color="auto"/>
        <w:right w:val="none" w:sz="0" w:space="0" w:color="auto"/>
      </w:divBdr>
      <w:divsChild>
        <w:div w:id="1038580366">
          <w:marLeft w:val="0"/>
          <w:marRight w:val="0"/>
          <w:marTop w:val="0"/>
          <w:marBottom w:val="0"/>
          <w:divBdr>
            <w:top w:val="none" w:sz="0" w:space="0" w:color="auto"/>
            <w:left w:val="none" w:sz="0" w:space="0" w:color="auto"/>
            <w:bottom w:val="none" w:sz="0" w:space="0" w:color="auto"/>
            <w:right w:val="none" w:sz="0" w:space="0" w:color="auto"/>
          </w:divBdr>
        </w:div>
        <w:div w:id="1422918702">
          <w:marLeft w:val="0"/>
          <w:marRight w:val="0"/>
          <w:marTop w:val="0"/>
          <w:marBottom w:val="0"/>
          <w:divBdr>
            <w:top w:val="none" w:sz="0" w:space="0" w:color="auto"/>
            <w:left w:val="none" w:sz="0" w:space="0" w:color="auto"/>
            <w:bottom w:val="none" w:sz="0" w:space="0" w:color="auto"/>
            <w:right w:val="none" w:sz="0" w:space="0" w:color="auto"/>
          </w:divBdr>
        </w:div>
        <w:div w:id="1539585860">
          <w:marLeft w:val="0"/>
          <w:marRight w:val="0"/>
          <w:marTop w:val="0"/>
          <w:marBottom w:val="0"/>
          <w:divBdr>
            <w:top w:val="none" w:sz="0" w:space="0" w:color="auto"/>
            <w:left w:val="none" w:sz="0" w:space="0" w:color="auto"/>
            <w:bottom w:val="none" w:sz="0" w:space="0" w:color="auto"/>
            <w:right w:val="none" w:sz="0" w:space="0" w:color="auto"/>
          </w:divBdr>
        </w:div>
        <w:div w:id="837580723">
          <w:marLeft w:val="0"/>
          <w:marRight w:val="0"/>
          <w:marTop w:val="0"/>
          <w:marBottom w:val="0"/>
          <w:divBdr>
            <w:top w:val="none" w:sz="0" w:space="0" w:color="auto"/>
            <w:left w:val="none" w:sz="0" w:space="0" w:color="auto"/>
            <w:bottom w:val="none" w:sz="0" w:space="0" w:color="auto"/>
            <w:right w:val="none" w:sz="0" w:space="0" w:color="auto"/>
          </w:divBdr>
        </w:div>
        <w:div w:id="673190073">
          <w:marLeft w:val="0"/>
          <w:marRight w:val="0"/>
          <w:marTop w:val="0"/>
          <w:marBottom w:val="0"/>
          <w:divBdr>
            <w:top w:val="none" w:sz="0" w:space="0" w:color="auto"/>
            <w:left w:val="none" w:sz="0" w:space="0" w:color="auto"/>
            <w:bottom w:val="none" w:sz="0" w:space="0" w:color="auto"/>
            <w:right w:val="none" w:sz="0" w:space="0" w:color="auto"/>
          </w:divBdr>
        </w:div>
        <w:div w:id="511454468">
          <w:marLeft w:val="0"/>
          <w:marRight w:val="0"/>
          <w:marTop w:val="0"/>
          <w:marBottom w:val="0"/>
          <w:divBdr>
            <w:top w:val="none" w:sz="0" w:space="0" w:color="auto"/>
            <w:left w:val="none" w:sz="0" w:space="0" w:color="auto"/>
            <w:bottom w:val="none" w:sz="0" w:space="0" w:color="auto"/>
            <w:right w:val="none" w:sz="0" w:space="0" w:color="auto"/>
          </w:divBdr>
        </w:div>
        <w:div w:id="51395349">
          <w:marLeft w:val="0"/>
          <w:marRight w:val="0"/>
          <w:marTop w:val="0"/>
          <w:marBottom w:val="0"/>
          <w:divBdr>
            <w:top w:val="none" w:sz="0" w:space="0" w:color="auto"/>
            <w:left w:val="none" w:sz="0" w:space="0" w:color="auto"/>
            <w:bottom w:val="none" w:sz="0" w:space="0" w:color="auto"/>
            <w:right w:val="none" w:sz="0" w:space="0" w:color="auto"/>
          </w:divBdr>
        </w:div>
        <w:div w:id="470949103">
          <w:marLeft w:val="0"/>
          <w:marRight w:val="0"/>
          <w:marTop w:val="0"/>
          <w:marBottom w:val="0"/>
          <w:divBdr>
            <w:top w:val="none" w:sz="0" w:space="0" w:color="auto"/>
            <w:left w:val="none" w:sz="0" w:space="0" w:color="auto"/>
            <w:bottom w:val="none" w:sz="0" w:space="0" w:color="auto"/>
            <w:right w:val="none" w:sz="0" w:space="0" w:color="auto"/>
          </w:divBdr>
        </w:div>
        <w:div w:id="2055080070">
          <w:marLeft w:val="0"/>
          <w:marRight w:val="0"/>
          <w:marTop w:val="0"/>
          <w:marBottom w:val="0"/>
          <w:divBdr>
            <w:top w:val="none" w:sz="0" w:space="0" w:color="auto"/>
            <w:left w:val="none" w:sz="0" w:space="0" w:color="auto"/>
            <w:bottom w:val="none" w:sz="0" w:space="0" w:color="auto"/>
            <w:right w:val="none" w:sz="0" w:space="0" w:color="auto"/>
          </w:divBdr>
        </w:div>
        <w:div w:id="46540675">
          <w:marLeft w:val="0"/>
          <w:marRight w:val="0"/>
          <w:marTop w:val="0"/>
          <w:marBottom w:val="0"/>
          <w:divBdr>
            <w:top w:val="none" w:sz="0" w:space="0" w:color="auto"/>
            <w:left w:val="none" w:sz="0" w:space="0" w:color="auto"/>
            <w:bottom w:val="none" w:sz="0" w:space="0" w:color="auto"/>
            <w:right w:val="none" w:sz="0" w:space="0" w:color="auto"/>
          </w:divBdr>
        </w:div>
        <w:div w:id="1638489317">
          <w:marLeft w:val="0"/>
          <w:marRight w:val="0"/>
          <w:marTop w:val="0"/>
          <w:marBottom w:val="0"/>
          <w:divBdr>
            <w:top w:val="none" w:sz="0" w:space="0" w:color="auto"/>
            <w:left w:val="none" w:sz="0" w:space="0" w:color="auto"/>
            <w:bottom w:val="none" w:sz="0" w:space="0" w:color="auto"/>
            <w:right w:val="none" w:sz="0" w:space="0" w:color="auto"/>
          </w:divBdr>
        </w:div>
        <w:div w:id="1304651805">
          <w:marLeft w:val="0"/>
          <w:marRight w:val="0"/>
          <w:marTop w:val="0"/>
          <w:marBottom w:val="0"/>
          <w:divBdr>
            <w:top w:val="none" w:sz="0" w:space="0" w:color="auto"/>
            <w:left w:val="none" w:sz="0" w:space="0" w:color="auto"/>
            <w:bottom w:val="none" w:sz="0" w:space="0" w:color="auto"/>
            <w:right w:val="none" w:sz="0" w:space="0" w:color="auto"/>
          </w:divBdr>
        </w:div>
        <w:div w:id="908616584">
          <w:marLeft w:val="0"/>
          <w:marRight w:val="0"/>
          <w:marTop w:val="0"/>
          <w:marBottom w:val="0"/>
          <w:divBdr>
            <w:top w:val="none" w:sz="0" w:space="0" w:color="auto"/>
            <w:left w:val="none" w:sz="0" w:space="0" w:color="auto"/>
            <w:bottom w:val="none" w:sz="0" w:space="0" w:color="auto"/>
            <w:right w:val="none" w:sz="0" w:space="0" w:color="auto"/>
          </w:divBdr>
        </w:div>
        <w:div w:id="2029677246">
          <w:marLeft w:val="0"/>
          <w:marRight w:val="0"/>
          <w:marTop w:val="0"/>
          <w:marBottom w:val="0"/>
          <w:divBdr>
            <w:top w:val="none" w:sz="0" w:space="0" w:color="auto"/>
            <w:left w:val="none" w:sz="0" w:space="0" w:color="auto"/>
            <w:bottom w:val="none" w:sz="0" w:space="0" w:color="auto"/>
            <w:right w:val="none" w:sz="0" w:space="0" w:color="auto"/>
          </w:divBdr>
        </w:div>
        <w:div w:id="362555253">
          <w:marLeft w:val="0"/>
          <w:marRight w:val="0"/>
          <w:marTop w:val="0"/>
          <w:marBottom w:val="0"/>
          <w:divBdr>
            <w:top w:val="none" w:sz="0" w:space="0" w:color="auto"/>
            <w:left w:val="none" w:sz="0" w:space="0" w:color="auto"/>
            <w:bottom w:val="none" w:sz="0" w:space="0" w:color="auto"/>
            <w:right w:val="none" w:sz="0" w:space="0" w:color="auto"/>
          </w:divBdr>
        </w:div>
        <w:div w:id="1493762595">
          <w:marLeft w:val="0"/>
          <w:marRight w:val="0"/>
          <w:marTop w:val="0"/>
          <w:marBottom w:val="0"/>
          <w:divBdr>
            <w:top w:val="none" w:sz="0" w:space="0" w:color="auto"/>
            <w:left w:val="none" w:sz="0" w:space="0" w:color="auto"/>
            <w:bottom w:val="none" w:sz="0" w:space="0" w:color="auto"/>
            <w:right w:val="none" w:sz="0" w:space="0" w:color="auto"/>
          </w:divBdr>
        </w:div>
        <w:div w:id="145783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2020-04-26T12:33:00Z</dcterms:created>
  <dcterms:modified xsi:type="dcterms:W3CDTF">2020-04-26T12:33:00Z</dcterms:modified>
</cp:coreProperties>
</file>