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72D" w:rsidRPr="00CC772D" w:rsidRDefault="00CC772D" w:rsidP="00CC772D">
      <w:pPr>
        <w:jc w:val="center"/>
        <w:rPr>
          <w:sz w:val="32"/>
          <w:szCs w:val="32"/>
          <w:lang w:bidi="ar-EG"/>
        </w:rPr>
      </w:pPr>
      <w:bookmarkStart w:id="0" w:name="Anchor1"/>
      <w:bookmarkEnd w:id="0"/>
      <w:r w:rsidRPr="00CC772D">
        <w:rPr>
          <w:sz w:val="32"/>
          <w:szCs w:val="32"/>
          <w:rtl/>
        </w:rPr>
        <w:t>الطعن رقم 665</w:t>
      </w:r>
      <w:bookmarkStart w:id="1" w:name="_GoBack"/>
      <w:bookmarkEnd w:id="1"/>
      <w:r w:rsidRPr="00CC772D">
        <w:rPr>
          <w:sz w:val="32"/>
          <w:szCs w:val="32"/>
          <w:rtl/>
        </w:rPr>
        <w:t>/2013</w:t>
      </w:r>
    </w:p>
    <w:p w:rsidR="00CC772D" w:rsidRPr="00CC772D" w:rsidRDefault="00CC772D" w:rsidP="00CC772D">
      <w:pPr>
        <w:rPr>
          <w:sz w:val="32"/>
          <w:szCs w:val="32"/>
          <w:lang w:bidi="ar-EG"/>
        </w:rPr>
      </w:pPr>
      <w:bookmarkStart w:id="2" w:name="Anchor6"/>
      <w:bookmarkEnd w:id="2"/>
      <w:r w:rsidRPr="00CC772D">
        <w:rPr>
          <w:sz w:val="32"/>
          <w:szCs w:val="32"/>
          <w:rtl/>
        </w:rPr>
        <w:t>هيئة المحكمة</w:t>
      </w:r>
      <w:r w:rsidRPr="00CC772D">
        <w:rPr>
          <w:sz w:val="32"/>
          <w:szCs w:val="32"/>
          <w:lang w:bidi="ar-EG"/>
        </w:rPr>
        <w:t xml:space="preserve">: </w:t>
      </w:r>
      <w:r w:rsidRPr="00CC772D">
        <w:rPr>
          <w:sz w:val="32"/>
          <w:szCs w:val="32"/>
          <w:rtl/>
        </w:rPr>
        <w:t>برئاسة السيد المستشار خالد المزيني وكيل المحكمة وعضوية السادة المستشارين ممدوح القزاز وصلاح الدين كامل وأمين طموم وأحمد أبو ضيف</w:t>
      </w:r>
    </w:p>
    <w:bookmarkStart w:id="3" w:name="Anchor20"/>
    <w:bookmarkEnd w:id="3"/>
    <w:p w:rsidR="00CC772D" w:rsidRPr="00CC772D" w:rsidRDefault="00CC772D" w:rsidP="00CC772D">
      <w:pPr>
        <w:rPr>
          <w:sz w:val="32"/>
          <w:szCs w:val="32"/>
          <w:lang w:bidi="ar-EG"/>
        </w:rPr>
      </w:pPr>
      <w:r w:rsidRPr="00CC772D">
        <w:rPr>
          <w:sz w:val="32"/>
          <w:szCs w:val="32"/>
          <w:lang w:bidi="ar-EG"/>
        </w:rPr>
        <w:fldChar w:fldCharType="begin"/>
      </w:r>
      <w:r w:rsidRPr="00CC772D">
        <w:rPr>
          <w:sz w:val="32"/>
          <w:szCs w:val="32"/>
          <w:lang w:bidi="ar-EG"/>
        </w:rPr>
        <w:instrText xml:space="preserve"> HYPERLINK "http://www.law.gov.kw/KWT_CC-Ar/00_2014/00_%D8%A7%D9%84%D8%AF%D8%A7%D8%A6%D8%B1%D8%A9%20%D8%A7%D9%84%D8%AA%D8%AC%D8%A7%D8%B1%D9%8A%D8%A9/KWT-CC-Ar_2014-05-21_00665_Taan.html" \l "TM2014_665_1" </w:instrText>
      </w:r>
      <w:r w:rsidRPr="00CC772D">
        <w:rPr>
          <w:sz w:val="32"/>
          <w:szCs w:val="32"/>
          <w:lang w:bidi="ar-EG"/>
        </w:rPr>
        <w:fldChar w:fldCharType="separate"/>
      </w:r>
      <w:r w:rsidRPr="00CC772D">
        <w:rPr>
          <w:rStyle w:val="Hyperlink"/>
          <w:sz w:val="32"/>
          <w:szCs w:val="32"/>
          <w:lang w:bidi="ar-EG"/>
        </w:rPr>
        <w:t xml:space="preserve">1- </w:t>
      </w:r>
      <w:r w:rsidRPr="00CC772D">
        <w:rPr>
          <w:rStyle w:val="Hyperlink"/>
          <w:sz w:val="32"/>
          <w:szCs w:val="32"/>
          <w:rtl/>
        </w:rPr>
        <w:t>إن لمحكمة الموضوع سلطة تحصيل وفهم الواقع في الدعوى والتحقق من صحة إعلان الخصوم وتقدير المستندات والأدلة بما في ذلك تقرير الخبير المنتدب دون إلزام الخبير بأداء عمله على وجه محدد</w:t>
      </w:r>
      <w:r w:rsidRPr="00CC772D">
        <w:rPr>
          <w:rStyle w:val="Hyperlink"/>
          <w:sz w:val="32"/>
          <w:szCs w:val="32"/>
          <w:lang w:bidi="ar-EG"/>
        </w:rPr>
        <w:t>.</w:t>
      </w:r>
      <w:r w:rsidRPr="00CC772D">
        <w:rPr>
          <w:sz w:val="32"/>
          <w:szCs w:val="32"/>
          <w:lang w:bidi="ar-EG"/>
        </w:rPr>
        <w:fldChar w:fldCharType="end"/>
      </w:r>
    </w:p>
    <w:bookmarkStart w:id="4" w:name="Anchor40"/>
    <w:bookmarkEnd w:id="4"/>
    <w:p w:rsidR="00CC772D" w:rsidRPr="00CC772D" w:rsidRDefault="00CC772D" w:rsidP="00CC772D">
      <w:pPr>
        <w:rPr>
          <w:sz w:val="32"/>
          <w:szCs w:val="32"/>
          <w:lang w:bidi="ar-EG"/>
        </w:rPr>
      </w:pPr>
      <w:r w:rsidRPr="00CC772D">
        <w:rPr>
          <w:sz w:val="32"/>
          <w:szCs w:val="32"/>
          <w:lang w:bidi="ar-EG"/>
        </w:rPr>
        <w:fldChar w:fldCharType="begin"/>
      </w:r>
      <w:r w:rsidRPr="00CC772D">
        <w:rPr>
          <w:sz w:val="32"/>
          <w:szCs w:val="32"/>
          <w:lang w:bidi="ar-EG"/>
        </w:rPr>
        <w:instrText xml:space="preserve"> HYPERLINK "http://www.law.gov.kw/KWT_CC-Ar/00_2014/00_%D8%A7%D9%84%D8%AF%D8%A7%D8%A6%D8%B1%D8%A9%20%D8%A7%D9%84%D8%AA%D8%AC%D8%A7%D8%B1%D9%8A%D8%A9/KWT-CC-Ar_2014-05-21_00665_Taan.html" \l "TM2014_665_2" </w:instrText>
      </w:r>
      <w:r w:rsidRPr="00CC772D">
        <w:rPr>
          <w:sz w:val="32"/>
          <w:szCs w:val="32"/>
          <w:lang w:bidi="ar-EG"/>
        </w:rPr>
        <w:fldChar w:fldCharType="separate"/>
      </w:r>
      <w:r w:rsidRPr="00CC772D">
        <w:rPr>
          <w:rStyle w:val="Hyperlink"/>
          <w:sz w:val="32"/>
          <w:szCs w:val="32"/>
          <w:lang w:bidi="ar-EG"/>
        </w:rPr>
        <w:t xml:space="preserve">2- </w:t>
      </w:r>
      <w:r w:rsidRPr="00CC772D">
        <w:rPr>
          <w:rStyle w:val="Hyperlink"/>
          <w:sz w:val="32"/>
          <w:szCs w:val="32"/>
          <w:rtl/>
        </w:rPr>
        <w:t>رفض الدفع ببطلان إعلان صحيفة الدعوى وصحيفة تعديل الطلبات بعد ثبوت إتباع مندوب الإعلان إجراءات الإعلان المنصوص عليها في قانون المرافعات واعتبار الإعلان بذلك منتجاً لآثاره القانونية</w:t>
      </w:r>
      <w:r w:rsidRPr="00CC772D">
        <w:rPr>
          <w:rStyle w:val="Hyperlink"/>
          <w:sz w:val="32"/>
          <w:szCs w:val="32"/>
          <w:lang w:bidi="ar-EG"/>
        </w:rPr>
        <w:t>.</w:t>
      </w:r>
      <w:r w:rsidRPr="00CC772D">
        <w:rPr>
          <w:sz w:val="32"/>
          <w:szCs w:val="32"/>
          <w:lang w:bidi="ar-EG"/>
        </w:rPr>
        <w:fldChar w:fldCharType="end"/>
      </w:r>
    </w:p>
    <w:bookmarkStart w:id="5" w:name="Anchor61"/>
    <w:bookmarkEnd w:id="5"/>
    <w:p w:rsidR="00CC772D" w:rsidRPr="00CC772D" w:rsidRDefault="00CC772D" w:rsidP="00CC772D">
      <w:pPr>
        <w:rPr>
          <w:sz w:val="32"/>
          <w:szCs w:val="32"/>
          <w:lang w:bidi="ar-EG"/>
        </w:rPr>
      </w:pPr>
      <w:r w:rsidRPr="00CC772D">
        <w:rPr>
          <w:sz w:val="32"/>
          <w:szCs w:val="32"/>
          <w:lang w:bidi="ar-EG"/>
        </w:rPr>
        <w:fldChar w:fldCharType="begin"/>
      </w:r>
      <w:r w:rsidRPr="00CC772D">
        <w:rPr>
          <w:sz w:val="32"/>
          <w:szCs w:val="32"/>
          <w:lang w:bidi="ar-EG"/>
        </w:rPr>
        <w:instrText xml:space="preserve"> HYPERLINK "http://www.law.gov.kw/KWT_CC-Ar/00_2014/00_%D8%A7%D9%84%D8%AF%D8%A7%D8%A6%D8%B1%D8%A9%20%D8%A7%D9%84%D8%AA%D8%AC%D8%A7%D8%B1%D9%8A%D8%A9/KWT-CC-Ar_2014-05-21_00665_Taan.html" \l "TM2014_665_3" </w:instrText>
      </w:r>
      <w:r w:rsidRPr="00CC772D">
        <w:rPr>
          <w:sz w:val="32"/>
          <w:szCs w:val="32"/>
          <w:lang w:bidi="ar-EG"/>
        </w:rPr>
        <w:fldChar w:fldCharType="separate"/>
      </w:r>
      <w:r w:rsidRPr="00CC772D">
        <w:rPr>
          <w:rStyle w:val="Hyperlink"/>
          <w:sz w:val="32"/>
          <w:szCs w:val="32"/>
          <w:lang w:bidi="ar-EG"/>
        </w:rPr>
        <w:t xml:space="preserve">3- </w:t>
      </w:r>
      <w:r w:rsidRPr="00CC772D">
        <w:rPr>
          <w:rStyle w:val="Hyperlink"/>
          <w:sz w:val="32"/>
          <w:szCs w:val="32"/>
          <w:rtl/>
        </w:rPr>
        <w:t>إن المحكمة لا تحكم ببطلان إعلان صحيفة تعديل طلبات الدعوى رغم ثبوت عدم حصوله حسب أحكام قانون المرافعات إذ إنه لم يترتب على هذا الإجراء الباطل أي ضرر للخصوم</w:t>
      </w:r>
      <w:r w:rsidRPr="00CC772D">
        <w:rPr>
          <w:rStyle w:val="Hyperlink"/>
          <w:sz w:val="32"/>
          <w:szCs w:val="32"/>
          <w:lang w:bidi="ar-EG"/>
        </w:rPr>
        <w:t>.</w:t>
      </w:r>
      <w:r w:rsidRPr="00CC772D">
        <w:rPr>
          <w:sz w:val="32"/>
          <w:szCs w:val="32"/>
          <w:lang w:bidi="ar-EG"/>
        </w:rPr>
        <w:fldChar w:fldCharType="end"/>
      </w:r>
      <w:r w:rsidRPr="00CC772D">
        <w:rPr>
          <w:sz w:val="32"/>
          <w:szCs w:val="32"/>
          <w:lang w:bidi="ar-EG"/>
        </w:rPr>
        <w:br/>
      </w:r>
      <w:r w:rsidRPr="00CC772D">
        <w:rPr>
          <w:sz w:val="32"/>
          <w:szCs w:val="32"/>
          <w:lang w:bidi="ar-EG"/>
        </w:rPr>
        <w:br/>
      </w:r>
      <w:r w:rsidRPr="00CC772D">
        <w:rPr>
          <w:sz w:val="32"/>
          <w:szCs w:val="32"/>
          <w:u w:val="single"/>
          <w:rtl/>
        </w:rPr>
        <w:t>ملاحظة</w:t>
      </w:r>
      <w:r w:rsidRPr="00CC772D">
        <w:rPr>
          <w:sz w:val="32"/>
          <w:szCs w:val="32"/>
          <w:u w:val="single"/>
          <w:lang w:bidi="ar-EG"/>
        </w:rPr>
        <w:t xml:space="preserve"> :</w:t>
      </w:r>
      <w:r w:rsidRPr="00CC772D">
        <w:rPr>
          <w:sz w:val="32"/>
          <w:szCs w:val="32"/>
          <w:lang w:bidi="ar-EG"/>
        </w:rPr>
        <w:br/>
      </w:r>
      <w:r w:rsidRPr="00CC772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C772D" w:rsidRPr="00CC772D" w:rsidRDefault="00CC772D" w:rsidP="00CC772D">
      <w:pPr>
        <w:rPr>
          <w:sz w:val="32"/>
          <w:szCs w:val="32"/>
          <w:lang w:bidi="ar-EG"/>
        </w:rPr>
      </w:pPr>
      <w:bookmarkStart w:id="6" w:name="Anchor77"/>
      <w:bookmarkEnd w:id="6"/>
      <w:r w:rsidRPr="00CC772D">
        <w:rPr>
          <w:b/>
          <w:bCs/>
          <w:sz w:val="32"/>
          <w:szCs w:val="32"/>
          <w:rtl/>
        </w:rPr>
        <w:t>المحكمة</w:t>
      </w:r>
    </w:p>
    <w:p w:rsidR="00CC772D" w:rsidRPr="00CC772D" w:rsidRDefault="00CC772D" w:rsidP="00CC772D">
      <w:pPr>
        <w:rPr>
          <w:sz w:val="32"/>
          <w:szCs w:val="32"/>
          <w:lang w:bidi="ar-EG"/>
        </w:rPr>
      </w:pPr>
      <w:bookmarkStart w:id="7" w:name="Anchor78"/>
      <w:bookmarkEnd w:id="7"/>
      <w:r w:rsidRPr="00CC772D">
        <w:rPr>
          <w:sz w:val="32"/>
          <w:szCs w:val="32"/>
          <w:rtl/>
        </w:rPr>
        <w:t>بعـد الاطلاع على الأوراق، والمداولـة</w:t>
      </w:r>
      <w:r w:rsidRPr="00CC772D">
        <w:rPr>
          <w:sz w:val="32"/>
          <w:szCs w:val="32"/>
          <w:lang w:bidi="ar-EG"/>
        </w:rPr>
        <w:t>.</w:t>
      </w:r>
    </w:p>
    <w:p w:rsidR="00CC772D" w:rsidRPr="00CC772D" w:rsidRDefault="00CC772D" w:rsidP="00CC772D">
      <w:pPr>
        <w:rPr>
          <w:sz w:val="32"/>
          <w:szCs w:val="32"/>
          <w:lang w:bidi="ar-EG"/>
        </w:rPr>
      </w:pPr>
      <w:bookmarkStart w:id="8" w:name="Anchor82"/>
      <w:bookmarkStart w:id="9" w:name="TM2014_665_1"/>
      <w:bookmarkEnd w:id="8"/>
      <w:bookmarkEnd w:id="9"/>
      <w:r w:rsidRPr="00CC772D">
        <w:rPr>
          <w:b/>
          <w:bCs/>
          <w:sz w:val="32"/>
          <w:szCs w:val="32"/>
          <w:rtl/>
        </w:rPr>
        <w:t>لما كان لمحكمة الموضوع سلطة تحصيل وفهم الواقع في الدعوى والتحقق من صحة إعلان الخصوم وتقدير ما يقدم إليها من الأدلة والمستندات بما في ذلك تقرير الخبير المندوب متى اطمأنت إليه واقتنعت بالأسباب التي بني عليها وأنه لا إلزام على الخبير بأداء عمله على نحو محدد إذ بحسبه أن يقوم بما نُدِبَ له على النحو الذي يراه محققاً للغاية من ندبه مادام عمله خاضعاً لتقدير المحكمة التي يحق لها الاكتفاء بما أجراه مادامت ترى فيه ما يكفي لجلاء وجه الحق في الدعوى،</w:t>
      </w:r>
      <w:r w:rsidRPr="00CC772D">
        <w:rPr>
          <w:sz w:val="32"/>
          <w:szCs w:val="32"/>
          <w:rtl/>
        </w:rPr>
        <w:t xml:space="preserve"> لما كان ذلك </w:t>
      </w:r>
      <w:bookmarkStart w:id="10" w:name="TM2014_665_2"/>
      <w:bookmarkEnd w:id="10"/>
      <w:r w:rsidRPr="00CC772D">
        <w:rPr>
          <w:b/>
          <w:bCs/>
          <w:sz w:val="32"/>
          <w:szCs w:val="32"/>
          <w:rtl/>
        </w:rPr>
        <w:t xml:space="preserve">وكان الحكم المطعون فيه قد أقام قضاءه بتأييد الحكم الابتدائي فيما قضي به من رفض الدفع ببطلان إعلان صحيفة افتتاح الدعوى وصحيفة تعديل الطلبات وبتعديله فيما قضي به في خصوص إلزام الشركة الطاعنة وبإلزامها بالمبلغ المقضي به على ما إستخلصه من أوراق الدعوى وما قدم فيها من مستندات ومن تقرير لجنة الخبراء الأخير الذي اطمئن إليه وبما له من سلطة </w:t>
      </w:r>
      <w:r w:rsidRPr="00CC772D">
        <w:rPr>
          <w:b/>
          <w:bCs/>
          <w:sz w:val="32"/>
          <w:szCs w:val="32"/>
          <w:rtl/>
        </w:rPr>
        <w:lastRenderedPageBreak/>
        <w:t>تقديرية إلى أن مندوب الإعلان قام بالانتقال إلى عنوان الشركة الطاعنة بالإرشاد بتاريخ 22 يناير 2008 وجدها مغلقة فسلم الصورة للمخفر وأرسل بذات التاريخ لها كتاب مسجل بتسليم الصورة للمخفر، ولم تدعي الطاعنة بوجود مركز إدارة آخر خلاف الذي انتقل إليه مندوب الإعلان الأمر الذي يكون مندوب الإعلان قد اتبع في إعلانها بصحيفة افتتاح الدعوى ما نصت عليه المادة 10 من قانون المرافعات ويكون الإعلان منتجاً لآثار القانونية،</w:t>
      </w:r>
    </w:p>
    <w:p w:rsidR="00CC772D" w:rsidRPr="00CC772D" w:rsidRDefault="00CC772D" w:rsidP="00CC772D">
      <w:pPr>
        <w:rPr>
          <w:sz w:val="32"/>
          <w:szCs w:val="32"/>
          <w:lang w:bidi="ar-EG"/>
        </w:rPr>
      </w:pPr>
      <w:bookmarkStart w:id="11" w:name="Anchor194"/>
      <w:bookmarkStart w:id="12" w:name="TM2014_665_3"/>
      <w:bookmarkEnd w:id="11"/>
      <w:bookmarkEnd w:id="12"/>
      <w:r w:rsidRPr="00CC772D">
        <w:rPr>
          <w:b/>
          <w:bCs/>
          <w:sz w:val="32"/>
          <w:szCs w:val="32"/>
          <w:rtl/>
        </w:rPr>
        <w:t xml:space="preserve">وكذلك بالنسبة للإعلان بصحيفة تعديل الطلبات فإنه و بالرغم من بطلانه لعدم تسليمه إلى النائب عن الطاعنة قانوناً أو لأحد القائمين على إدارتها أو لمن يقوم مقامهم والإكتفاء بتسليمة إلى المستشار القانوني للشركة فإن المحكمة لا تحكم به إذ أنه لم يترتب على هذا الإجراء الباطل ضرر للطاعنة وذلك عملاً بنص المادة 19 من القانون سالف البيان، هذا فضلاً عن أن الثابت أن الطاعنة حضرت بوكيل عنها بجلسة 18 يناير 2009 وقدم مذكرة بدفاعه في الدعوى بما يصحح هذا البطلان وتحقق علمها بالطلبات المعدلة ومن ثم يضحى الدفع بالبطلان قد جاء على غير سند صحيح من الواقع والقانون، وإلى أن إجمالي قيمة الأشياء الناقصة والمخالفة للمواصفات في الخلاطات موضوع النزاع عما هو متفق عليه في العقد سند الدعوى مبلغ 48.345 د.ك وأن مقابل عدم انتفاع الشركة المطعون بالخلاطات خلال فترة إصلاح العيوب ومدتها 60 يوماً تعطل فعلي عن العمل بعد خصم أيام العطلات الرسمية والصيانة الدورية بواقع </w:t>
      </w:r>
      <w:r w:rsidRPr="00CC772D">
        <w:rPr>
          <w:b/>
          <w:bCs/>
          <w:sz w:val="32"/>
          <w:szCs w:val="32"/>
          <w:lang w:bidi="ar-EG"/>
        </w:rPr>
        <w:t xml:space="preserve">60 </w:t>
      </w:r>
      <w:r w:rsidRPr="00CC772D">
        <w:rPr>
          <w:b/>
          <w:bCs/>
          <w:sz w:val="32"/>
          <w:szCs w:val="32"/>
          <w:rtl/>
        </w:rPr>
        <w:t>د.ك قيمة إيجارية يومية للخلاط الواحد بما جملته مبلغاً وقدره 36.000 د.ك عن المدة كلها للخلاطات العشرة ومن ثم يضحى إجمالي المبلغ المستحق للمطعون ضدها في ذمة الطاعنة هو مبلغ 84.345 د.ك، وكان هذا الاستخلاص من الحكم سائغاً وله أصل ثابت بالأوراق ويكفي لحمله ويؤدي إلى النتيجة التي إنتهى إليها ويضحى ما تثيره الطاعنة بسبب النعي حول تعييب هذا الاستخلاص لا يعدو أن يكون جدلاً فيما لمحكمة الموضوع سلطة تقديره مما لا تجوز إثارته أمام هذه المحكمة مما يتعين معه التقرير بعدم قبول الطعن عملاً بالمادتين 152، 154/5 من قانون المرافعات</w:t>
      </w:r>
      <w:r w:rsidRPr="00CC772D">
        <w:rPr>
          <w:b/>
          <w:bCs/>
          <w:sz w:val="32"/>
          <w:szCs w:val="32"/>
          <w:lang w:bidi="ar-EG"/>
        </w:rPr>
        <w:t>.</w:t>
      </w:r>
    </w:p>
    <w:p w:rsidR="00CC772D" w:rsidRPr="00CC772D" w:rsidRDefault="00CC772D" w:rsidP="00CC772D">
      <w:pPr>
        <w:rPr>
          <w:sz w:val="32"/>
          <w:szCs w:val="32"/>
          <w:lang w:bidi="ar-EG"/>
        </w:rPr>
      </w:pPr>
      <w:bookmarkStart w:id="13" w:name="Anchor319"/>
      <w:bookmarkEnd w:id="13"/>
      <w:r w:rsidRPr="00CC772D">
        <w:rPr>
          <w:b/>
          <w:bCs/>
          <w:sz w:val="32"/>
          <w:szCs w:val="32"/>
          <w:rtl/>
        </w:rPr>
        <w:t>لذلك</w:t>
      </w:r>
    </w:p>
    <w:p w:rsidR="00CC772D" w:rsidRPr="00CC772D" w:rsidRDefault="00CC772D" w:rsidP="00CC772D">
      <w:pPr>
        <w:rPr>
          <w:sz w:val="32"/>
          <w:szCs w:val="32"/>
          <w:lang w:bidi="ar-EG"/>
        </w:rPr>
      </w:pPr>
      <w:bookmarkStart w:id="14" w:name="Anchor320"/>
      <w:bookmarkEnd w:id="14"/>
      <w:r w:rsidRPr="00CC772D">
        <w:rPr>
          <w:sz w:val="32"/>
          <w:szCs w:val="32"/>
          <w:rtl/>
        </w:rPr>
        <w:t xml:space="preserve">قررت المحكمة </w:t>
      </w:r>
      <w:r w:rsidRPr="00CC772D">
        <w:rPr>
          <w:sz w:val="32"/>
          <w:szCs w:val="32"/>
          <w:lang w:bidi="ar-EG"/>
        </w:rPr>
        <w:t xml:space="preserve">– </w:t>
      </w:r>
      <w:r w:rsidRPr="00CC772D">
        <w:rPr>
          <w:sz w:val="32"/>
          <w:szCs w:val="32"/>
          <w:rtl/>
        </w:rPr>
        <w:t xml:space="preserve">في غرفة المشورة </w:t>
      </w:r>
      <w:r w:rsidRPr="00CC772D">
        <w:rPr>
          <w:sz w:val="32"/>
          <w:szCs w:val="32"/>
          <w:lang w:bidi="ar-EG"/>
        </w:rPr>
        <w:t xml:space="preserve">– </w:t>
      </w:r>
      <w:r w:rsidRPr="00CC772D">
        <w:rPr>
          <w:sz w:val="32"/>
          <w:szCs w:val="32"/>
          <w:rtl/>
        </w:rPr>
        <w:t>بعدم قبول الطعن وألزمت الطاعنة المصروفات مع مصادرة الكفالة</w:t>
      </w:r>
      <w:r w:rsidRPr="00CC772D">
        <w:rPr>
          <w:sz w:val="32"/>
          <w:szCs w:val="32"/>
          <w:lang w:bidi="ar-EG"/>
        </w:rPr>
        <w:t>.</w:t>
      </w:r>
    </w:p>
    <w:p w:rsidR="00CC772D" w:rsidRPr="00CC772D" w:rsidRDefault="00CC772D" w:rsidP="00CC772D">
      <w:pPr>
        <w:rPr>
          <w:sz w:val="32"/>
          <w:szCs w:val="32"/>
          <w:lang w:bidi="ar-EG"/>
        </w:rPr>
      </w:pPr>
    </w:p>
    <w:p w:rsidR="00CC772D" w:rsidRPr="00CC772D" w:rsidRDefault="00CC772D" w:rsidP="00CC772D">
      <w:pPr>
        <w:rPr>
          <w:sz w:val="32"/>
          <w:szCs w:val="32"/>
          <w:lang w:bidi="ar-EG"/>
        </w:rPr>
      </w:pPr>
      <w:bookmarkStart w:id="15" w:name="Anchor334"/>
      <w:bookmarkEnd w:id="15"/>
      <w:r w:rsidRPr="00CC772D">
        <w:rPr>
          <w:sz w:val="32"/>
          <w:szCs w:val="32"/>
          <w:lang w:bidi="ar-EG"/>
        </w:rPr>
        <w:t>* * *</w:t>
      </w:r>
    </w:p>
    <w:p w:rsidR="008C2BA0" w:rsidRPr="00CC772D" w:rsidRDefault="008C2BA0">
      <w:pPr>
        <w:rPr>
          <w:rFonts w:hint="cs"/>
          <w:sz w:val="32"/>
          <w:szCs w:val="32"/>
          <w:lang w:bidi="ar-EG"/>
        </w:rPr>
      </w:pPr>
    </w:p>
    <w:sectPr w:rsidR="008C2BA0" w:rsidRPr="00CC772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28"/>
    <w:rsid w:val="0003272B"/>
    <w:rsid w:val="008C2BA0"/>
    <w:rsid w:val="00943528"/>
    <w:rsid w:val="00CC7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7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7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09265">
      <w:bodyDiv w:val="1"/>
      <w:marLeft w:val="0"/>
      <w:marRight w:val="0"/>
      <w:marTop w:val="0"/>
      <w:marBottom w:val="0"/>
      <w:divBdr>
        <w:top w:val="none" w:sz="0" w:space="0" w:color="auto"/>
        <w:left w:val="none" w:sz="0" w:space="0" w:color="auto"/>
        <w:bottom w:val="none" w:sz="0" w:space="0" w:color="auto"/>
        <w:right w:val="none" w:sz="0" w:space="0" w:color="auto"/>
      </w:divBdr>
      <w:divsChild>
        <w:div w:id="1232424115">
          <w:marLeft w:val="0"/>
          <w:marRight w:val="0"/>
          <w:marTop w:val="0"/>
          <w:marBottom w:val="0"/>
          <w:divBdr>
            <w:top w:val="none" w:sz="0" w:space="0" w:color="auto"/>
            <w:left w:val="none" w:sz="0" w:space="0" w:color="auto"/>
            <w:bottom w:val="none" w:sz="0" w:space="0" w:color="auto"/>
            <w:right w:val="none" w:sz="0" w:space="0" w:color="auto"/>
          </w:divBdr>
        </w:div>
        <w:div w:id="2087723830">
          <w:marLeft w:val="0"/>
          <w:marRight w:val="0"/>
          <w:marTop w:val="0"/>
          <w:marBottom w:val="0"/>
          <w:divBdr>
            <w:top w:val="none" w:sz="0" w:space="0" w:color="auto"/>
            <w:left w:val="none" w:sz="0" w:space="0" w:color="auto"/>
            <w:bottom w:val="none" w:sz="0" w:space="0" w:color="auto"/>
            <w:right w:val="none" w:sz="0" w:space="0" w:color="auto"/>
          </w:divBdr>
        </w:div>
        <w:div w:id="1674794137">
          <w:marLeft w:val="0"/>
          <w:marRight w:val="0"/>
          <w:marTop w:val="0"/>
          <w:marBottom w:val="0"/>
          <w:divBdr>
            <w:top w:val="none" w:sz="0" w:space="0" w:color="auto"/>
            <w:left w:val="none" w:sz="0" w:space="0" w:color="auto"/>
            <w:bottom w:val="none" w:sz="0" w:space="0" w:color="auto"/>
            <w:right w:val="none" w:sz="0" w:space="0" w:color="auto"/>
          </w:divBdr>
        </w:div>
        <w:div w:id="267859189">
          <w:marLeft w:val="0"/>
          <w:marRight w:val="0"/>
          <w:marTop w:val="0"/>
          <w:marBottom w:val="0"/>
          <w:divBdr>
            <w:top w:val="none" w:sz="0" w:space="0" w:color="auto"/>
            <w:left w:val="none" w:sz="0" w:space="0" w:color="auto"/>
            <w:bottom w:val="none" w:sz="0" w:space="0" w:color="auto"/>
            <w:right w:val="none" w:sz="0" w:space="0" w:color="auto"/>
          </w:divBdr>
        </w:div>
        <w:div w:id="589126302">
          <w:marLeft w:val="0"/>
          <w:marRight w:val="0"/>
          <w:marTop w:val="0"/>
          <w:marBottom w:val="0"/>
          <w:divBdr>
            <w:top w:val="none" w:sz="0" w:space="0" w:color="auto"/>
            <w:left w:val="none" w:sz="0" w:space="0" w:color="auto"/>
            <w:bottom w:val="none" w:sz="0" w:space="0" w:color="auto"/>
            <w:right w:val="none" w:sz="0" w:space="0" w:color="auto"/>
          </w:divBdr>
        </w:div>
        <w:div w:id="101996224">
          <w:marLeft w:val="0"/>
          <w:marRight w:val="0"/>
          <w:marTop w:val="0"/>
          <w:marBottom w:val="0"/>
          <w:divBdr>
            <w:top w:val="none" w:sz="0" w:space="0" w:color="auto"/>
            <w:left w:val="none" w:sz="0" w:space="0" w:color="auto"/>
            <w:bottom w:val="none" w:sz="0" w:space="0" w:color="auto"/>
            <w:right w:val="none" w:sz="0" w:space="0" w:color="auto"/>
          </w:divBdr>
        </w:div>
        <w:div w:id="468716045">
          <w:marLeft w:val="0"/>
          <w:marRight w:val="0"/>
          <w:marTop w:val="0"/>
          <w:marBottom w:val="0"/>
          <w:divBdr>
            <w:top w:val="none" w:sz="0" w:space="0" w:color="auto"/>
            <w:left w:val="none" w:sz="0" w:space="0" w:color="auto"/>
            <w:bottom w:val="none" w:sz="0" w:space="0" w:color="auto"/>
            <w:right w:val="none" w:sz="0" w:space="0" w:color="auto"/>
          </w:divBdr>
        </w:div>
        <w:div w:id="757217486">
          <w:marLeft w:val="0"/>
          <w:marRight w:val="0"/>
          <w:marTop w:val="0"/>
          <w:marBottom w:val="0"/>
          <w:divBdr>
            <w:top w:val="none" w:sz="0" w:space="0" w:color="auto"/>
            <w:left w:val="none" w:sz="0" w:space="0" w:color="auto"/>
            <w:bottom w:val="none" w:sz="0" w:space="0" w:color="auto"/>
            <w:right w:val="none" w:sz="0" w:space="0" w:color="auto"/>
          </w:divBdr>
        </w:div>
        <w:div w:id="1462577308">
          <w:marLeft w:val="0"/>
          <w:marRight w:val="0"/>
          <w:marTop w:val="0"/>
          <w:marBottom w:val="0"/>
          <w:divBdr>
            <w:top w:val="none" w:sz="0" w:space="0" w:color="auto"/>
            <w:left w:val="none" w:sz="0" w:space="0" w:color="auto"/>
            <w:bottom w:val="none" w:sz="0" w:space="0" w:color="auto"/>
            <w:right w:val="none" w:sz="0" w:space="0" w:color="auto"/>
          </w:divBdr>
        </w:div>
        <w:div w:id="2059430882">
          <w:marLeft w:val="0"/>
          <w:marRight w:val="0"/>
          <w:marTop w:val="0"/>
          <w:marBottom w:val="0"/>
          <w:divBdr>
            <w:top w:val="none" w:sz="0" w:space="0" w:color="auto"/>
            <w:left w:val="none" w:sz="0" w:space="0" w:color="auto"/>
            <w:bottom w:val="none" w:sz="0" w:space="0" w:color="auto"/>
            <w:right w:val="none" w:sz="0" w:space="0" w:color="auto"/>
          </w:divBdr>
        </w:div>
        <w:div w:id="1418399145">
          <w:marLeft w:val="0"/>
          <w:marRight w:val="0"/>
          <w:marTop w:val="0"/>
          <w:marBottom w:val="0"/>
          <w:divBdr>
            <w:top w:val="none" w:sz="0" w:space="0" w:color="auto"/>
            <w:left w:val="none" w:sz="0" w:space="0" w:color="auto"/>
            <w:bottom w:val="none" w:sz="0" w:space="0" w:color="auto"/>
            <w:right w:val="none" w:sz="0" w:space="0" w:color="auto"/>
          </w:divBdr>
        </w:div>
        <w:div w:id="184288512">
          <w:marLeft w:val="0"/>
          <w:marRight w:val="0"/>
          <w:marTop w:val="0"/>
          <w:marBottom w:val="0"/>
          <w:divBdr>
            <w:top w:val="none" w:sz="0" w:space="0" w:color="auto"/>
            <w:left w:val="none" w:sz="0" w:space="0" w:color="auto"/>
            <w:bottom w:val="none" w:sz="0" w:space="0" w:color="auto"/>
            <w:right w:val="none" w:sz="0" w:space="0" w:color="auto"/>
          </w:divBdr>
        </w:div>
      </w:divsChild>
    </w:div>
    <w:div w:id="1684241485">
      <w:bodyDiv w:val="1"/>
      <w:marLeft w:val="0"/>
      <w:marRight w:val="0"/>
      <w:marTop w:val="0"/>
      <w:marBottom w:val="0"/>
      <w:divBdr>
        <w:top w:val="none" w:sz="0" w:space="0" w:color="auto"/>
        <w:left w:val="none" w:sz="0" w:space="0" w:color="auto"/>
        <w:bottom w:val="none" w:sz="0" w:space="0" w:color="auto"/>
        <w:right w:val="none" w:sz="0" w:space="0" w:color="auto"/>
      </w:divBdr>
      <w:divsChild>
        <w:div w:id="1534416564">
          <w:marLeft w:val="0"/>
          <w:marRight w:val="0"/>
          <w:marTop w:val="0"/>
          <w:marBottom w:val="0"/>
          <w:divBdr>
            <w:top w:val="none" w:sz="0" w:space="0" w:color="auto"/>
            <w:left w:val="none" w:sz="0" w:space="0" w:color="auto"/>
            <w:bottom w:val="none" w:sz="0" w:space="0" w:color="auto"/>
            <w:right w:val="none" w:sz="0" w:space="0" w:color="auto"/>
          </w:divBdr>
        </w:div>
        <w:div w:id="1620801561">
          <w:marLeft w:val="0"/>
          <w:marRight w:val="0"/>
          <w:marTop w:val="0"/>
          <w:marBottom w:val="0"/>
          <w:divBdr>
            <w:top w:val="none" w:sz="0" w:space="0" w:color="auto"/>
            <w:left w:val="none" w:sz="0" w:space="0" w:color="auto"/>
            <w:bottom w:val="none" w:sz="0" w:space="0" w:color="auto"/>
            <w:right w:val="none" w:sz="0" w:space="0" w:color="auto"/>
          </w:divBdr>
        </w:div>
        <w:div w:id="25563924">
          <w:marLeft w:val="0"/>
          <w:marRight w:val="0"/>
          <w:marTop w:val="0"/>
          <w:marBottom w:val="0"/>
          <w:divBdr>
            <w:top w:val="none" w:sz="0" w:space="0" w:color="auto"/>
            <w:left w:val="none" w:sz="0" w:space="0" w:color="auto"/>
            <w:bottom w:val="none" w:sz="0" w:space="0" w:color="auto"/>
            <w:right w:val="none" w:sz="0" w:space="0" w:color="auto"/>
          </w:divBdr>
        </w:div>
        <w:div w:id="2109038234">
          <w:marLeft w:val="0"/>
          <w:marRight w:val="0"/>
          <w:marTop w:val="0"/>
          <w:marBottom w:val="0"/>
          <w:divBdr>
            <w:top w:val="none" w:sz="0" w:space="0" w:color="auto"/>
            <w:left w:val="none" w:sz="0" w:space="0" w:color="auto"/>
            <w:bottom w:val="none" w:sz="0" w:space="0" w:color="auto"/>
            <w:right w:val="none" w:sz="0" w:space="0" w:color="auto"/>
          </w:divBdr>
        </w:div>
        <w:div w:id="1398363275">
          <w:marLeft w:val="0"/>
          <w:marRight w:val="0"/>
          <w:marTop w:val="0"/>
          <w:marBottom w:val="0"/>
          <w:divBdr>
            <w:top w:val="none" w:sz="0" w:space="0" w:color="auto"/>
            <w:left w:val="none" w:sz="0" w:space="0" w:color="auto"/>
            <w:bottom w:val="none" w:sz="0" w:space="0" w:color="auto"/>
            <w:right w:val="none" w:sz="0" w:space="0" w:color="auto"/>
          </w:divBdr>
        </w:div>
        <w:div w:id="129712168">
          <w:marLeft w:val="0"/>
          <w:marRight w:val="0"/>
          <w:marTop w:val="0"/>
          <w:marBottom w:val="0"/>
          <w:divBdr>
            <w:top w:val="none" w:sz="0" w:space="0" w:color="auto"/>
            <w:left w:val="none" w:sz="0" w:space="0" w:color="auto"/>
            <w:bottom w:val="none" w:sz="0" w:space="0" w:color="auto"/>
            <w:right w:val="none" w:sz="0" w:space="0" w:color="auto"/>
          </w:divBdr>
        </w:div>
        <w:div w:id="1816604389">
          <w:marLeft w:val="0"/>
          <w:marRight w:val="0"/>
          <w:marTop w:val="0"/>
          <w:marBottom w:val="0"/>
          <w:divBdr>
            <w:top w:val="none" w:sz="0" w:space="0" w:color="auto"/>
            <w:left w:val="none" w:sz="0" w:space="0" w:color="auto"/>
            <w:bottom w:val="none" w:sz="0" w:space="0" w:color="auto"/>
            <w:right w:val="none" w:sz="0" w:space="0" w:color="auto"/>
          </w:divBdr>
        </w:div>
        <w:div w:id="193226422">
          <w:marLeft w:val="0"/>
          <w:marRight w:val="0"/>
          <w:marTop w:val="0"/>
          <w:marBottom w:val="0"/>
          <w:divBdr>
            <w:top w:val="none" w:sz="0" w:space="0" w:color="auto"/>
            <w:left w:val="none" w:sz="0" w:space="0" w:color="auto"/>
            <w:bottom w:val="none" w:sz="0" w:space="0" w:color="auto"/>
            <w:right w:val="none" w:sz="0" w:space="0" w:color="auto"/>
          </w:divBdr>
        </w:div>
        <w:div w:id="194971164">
          <w:marLeft w:val="0"/>
          <w:marRight w:val="0"/>
          <w:marTop w:val="0"/>
          <w:marBottom w:val="0"/>
          <w:divBdr>
            <w:top w:val="none" w:sz="0" w:space="0" w:color="auto"/>
            <w:left w:val="none" w:sz="0" w:space="0" w:color="auto"/>
            <w:bottom w:val="none" w:sz="0" w:space="0" w:color="auto"/>
            <w:right w:val="none" w:sz="0" w:space="0" w:color="auto"/>
          </w:divBdr>
        </w:div>
        <w:div w:id="1822653442">
          <w:marLeft w:val="0"/>
          <w:marRight w:val="0"/>
          <w:marTop w:val="0"/>
          <w:marBottom w:val="0"/>
          <w:divBdr>
            <w:top w:val="none" w:sz="0" w:space="0" w:color="auto"/>
            <w:left w:val="none" w:sz="0" w:space="0" w:color="auto"/>
            <w:bottom w:val="none" w:sz="0" w:space="0" w:color="auto"/>
            <w:right w:val="none" w:sz="0" w:space="0" w:color="auto"/>
          </w:divBdr>
        </w:div>
        <w:div w:id="1924025205">
          <w:marLeft w:val="0"/>
          <w:marRight w:val="0"/>
          <w:marTop w:val="0"/>
          <w:marBottom w:val="0"/>
          <w:divBdr>
            <w:top w:val="none" w:sz="0" w:space="0" w:color="auto"/>
            <w:left w:val="none" w:sz="0" w:space="0" w:color="auto"/>
            <w:bottom w:val="none" w:sz="0" w:space="0" w:color="auto"/>
            <w:right w:val="none" w:sz="0" w:space="0" w:color="auto"/>
          </w:divBdr>
        </w:div>
        <w:div w:id="153407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2020-04-26T12:19:00Z</dcterms:created>
  <dcterms:modified xsi:type="dcterms:W3CDTF">2020-04-26T12:19:00Z</dcterms:modified>
</cp:coreProperties>
</file>