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FB9" w:rsidRPr="00AB4FB9" w:rsidRDefault="00AB4FB9" w:rsidP="00AB4FB9">
      <w:pPr>
        <w:jc w:val="center"/>
        <w:rPr>
          <w:sz w:val="32"/>
          <w:szCs w:val="32"/>
        </w:rPr>
      </w:pPr>
      <w:bookmarkStart w:id="0" w:name="Anchor1"/>
      <w:bookmarkEnd w:id="0"/>
      <w:r w:rsidRPr="00AB4FB9">
        <w:rPr>
          <w:sz w:val="32"/>
          <w:szCs w:val="32"/>
          <w:rtl/>
        </w:rPr>
        <w:t>الطع</w:t>
      </w:r>
      <w:bookmarkStart w:id="1" w:name="_GoBack"/>
      <w:bookmarkEnd w:id="1"/>
      <w:r w:rsidRPr="00AB4FB9">
        <w:rPr>
          <w:sz w:val="32"/>
          <w:szCs w:val="32"/>
          <w:rtl/>
        </w:rPr>
        <w:t>ن رقم 713/2014</w:t>
      </w:r>
    </w:p>
    <w:p w:rsidR="00AB4FB9" w:rsidRPr="00AB4FB9" w:rsidRDefault="00AB4FB9" w:rsidP="00AB4FB9">
      <w:pPr>
        <w:rPr>
          <w:sz w:val="32"/>
          <w:szCs w:val="32"/>
        </w:rPr>
      </w:pPr>
      <w:bookmarkStart w:id="2" w:name="Anchor6"/>
      <w:bookmarkEnd w:id="2"/>
      <w:r w:rsidRPr="00AB4FB9">
        <w:rPr>
          <w:sz w:val="32"/>
          <w:szCs w:val="32"/>
          <w:rtl/>
        </w:rPr>
        <w:t>هيئة المحكمة</w:t>
      </w:r>
      <w:r w:rsidRPr="00AB4FB9">
        <w:rPr>
          <w:sz w:val="32"/>
          <w:szCs w:val="32"/>
        </w:rPr>
        <w:t xml:space="preserve">: </w:t>
      </w:r>
      <w:r w:rsidRPr="00AB4FB9">
        <w:rPr>
          <w:sz w:val="32"/>
          <w:szCs w:val="32"/>
          <w:rtl/>
        </w:rPr>
        <w:t>برئاسة السيد المستشار عبدالهادي العطار وكيل المحكمة وعضوية السادة المستشارين يحيى موميه ومحمود عطا ومحمود عبد اللطيف وناصر مشالي</w:t>
      </w:r>
    </w:p>
    <w:bookmarkStart w:id="3" w:name="Anchor21"/>
    <w:bookmarkEnd w:id="3"/>
    <w:p w:rsidR="00AB4FB9" w:rsidRPr="00AB4FB9" w:rsidRDefault="00AB4FB9" w:rsidP="00AB4FB9">
      <w:pPr>
        <w:rPr>
          <w:sz w:val="32"/>
          <w:szCs w:val="32"/>
        </w:rPr>
      </w:pPr>
      <w:r w:rsidRPr="00AB4FB9">
        <w:rPr>
          <w:sz w:val="32"/>
          <w:szCs w:val="32"/>
        </w:rPr>
        <w:fldChar w:fldCharType="begin"/>
      </w:r>
      <w:r w:rsidRPr="00AB4FB9">
        <w:rPr>
          <w:sz w:val="32"/>
          <w:szCs w:val="32"/>
        </w:rPr>
        <w:instrText xml:space="preserve"> HYPERLINK "http://www.law.gov.kw/KWT_CC-Ar/00_2014/00_%D8%A7%D9%84%D8%AF%D8%A7%D8%A6%D8%B1%D8%A9%20%D8%A7%D9%84%D8%AA%D8%AC%D8%A7%D8%B1%D9%8A%D8%A9/KWT-CC-Ar_2014-06-17_00713_Taan.html" \l "TM2014_713_1" </w:instrText>
      </w:r>
      <w:r w:rsidRPr="00AB4FB9">
        <w:rPr>
          <w:sz w:val="32"/>
          <w:szCs w:val="32"/>
        </w:rPr>
        <w:fldChar w:fldCharType="separate"/>
      </w:r>
      <w:r w:rsidRPr="00AB4FB9">
        <w:rPr>
          <w:rStyle w:val="Hyperlink"/>
          <w:sz w:val="32"/>
          <w:szCs w:val="32"/>
        </w:rPr>
        <w:t xml:space="preserve">1- </w:t>
      </w:r>
      <w:r w:rsidRPr="00AB4FB9">
        <w:rPr>
          <w:rStyle w:val="Hyperlink"/>
          <w:sz w:val="32"/>
          <w:szCs w:val="32"/>
          <w:rtl/>
        </w:rPr>
        <w:t>إن لمحكمة الموضوع تحديد نطاق الدعوى كونه من قبيل فهم الواقع فيها</w:t>
      </w:r>
      <w:r w:rsidRPr="00AB4FB9">
        <w:rPr>
          <w:rStyle w:val="Hyperlink"/>
          <w:sz w:val="32"/>
          <w:szCs w:val="32"/>
        </w:rPr>
        <w:t>.</w:t>
      </w:r>
      <w:r w:rsidRPr="00AB4FB9">
        <w:rPr>
          <w:sz w:val="32"/>
          <w:szCs w:val="32"/>
        </w:rPr>
        <w:fldChar w:fldCharType="end"/>
      </w:r>
    </w:p>
    <w:bookmarkStart w:id="4" w:name="Anchor30"/>
    <w:bookmarkEnd w:id="4"/>
    <w:p w:rsidR="00AB4FB9" w:rsidRPr="00AB4FB9" w:rsidRDefault="00AB4FB9" w:rsidP="00AB4FB9">
      <w:pPr>
        <w:rPr>
          <w:sz w:val="32"/>
          <w:szCs w:val="32"/>
        </w:rPr>
      </w:pPr>
      <w:r w:rsidRPr="00AB4FB9">
        <w:rPr>
          <w:sz w:val="32"/>
          <w:szCs w:val="32"/>
        </w:rPr>
        <w:fldChar w:fldCharType="begin"/>
      </w:r>
      <w:r w:rsidRPr="00AB4FB9">
        <w:rPr>
          <w:sz w:val="32"/>
          <w:szCs w:val="32"/>
        </w:rPr>
        <w:instrText xml:space="preserve"> HYPERLINK "http://www.law.gov.kw/KWT_CC-Ar/00_2014/00_%D8%A7%D9%84%D8%AF%D8%A7%D8%A6%D8%B1%D8%A9%20%D8%A7%D9%84%D8%AA%D8%AC%D8%A7%D8%B1%D9%8A%D8%A9/KWT-CC-Ar_2014-06-17_00713_Taan.html" \l "TM2014_713_2" </w:instrText>
      </w:r>
      <w:r w:rsidRPr="00AB4FB9">
        <w:rPr>
          <w:sz w:val="32"/>
          <w:szCs w:val="32"/>
        </w:rPr>
        <w:fldChar w:fldCharType="separate"/>
      </w:r>
      <w:r w:rsidRPr="00AB4FB9">
        <w:rPr>
          <w:rStyle w:val="Hyperlink"/>
          <w:sz w:val="32"/>
          <w:szCs w:val="32"/>
        </w:rPr>
        <w:t xml:space="preserve">2- </w:t>
      </w:r>
      <w:r w:rsidRPr="00AB4FB9">
        <w:rPr>
          <w:rStyle w:val="Hyperlink"/>
          <w:sz w:val="32"/>
          <w:szCs w:val="32"/>
          <w:rtl/>
        </w:rPr>
        <w:t>إن محكمة الموضوع ملزمة بالتقيّد بطلبات الخصوم والحكم بما يتضمنه نطاق هذه الطلبات دون تغييرها سبب الدعوى كونه مصدر الحق المدعى به</w:t>
      </w:r>
      <w:r w:rsidRPr="00AB4FB9">
        <w:rPr>
          <w:rStyle w:val="Hyperlink"/>
          <w:sz w:val="32"/>
          <w:szCs w:val="32"/>
        </w:rPr>
        <w:t>.</w:t>
      </w:r>
      <w:r w:rsidRPr="00AB4FB9">
        <w:rPr>
          <w:sz w:val="32"/>
          <w:szCs w:val="32"/>
        </w:rPr>
        <w:fldChar w:fldCharType="end"/>
      </w:r>
    </w:p>
    <w:bookmarkStart w:id="5" w:name="Anchor46"/>
    <w:bookmarkEnd w:id="5"/>
    <w:p w:rsidR="00AB4FB9" w:rsidRPr="00AB4FB9" w:rsidRDefault="00AB4FB9" w:rsidP="00AB4FB9">
      <w:pPr>
        <w:rPr>
          <w:sz w:val="32"/>
          <w:szCs w:val="32"/>
        </w:rPr>
      </w:pPr>
      <w:r w:rsidRPr="00AB4FB9">
        <w:rPr>
          <w:sz w:val="32"/>
          <w:szCs w:val="32"/>
        </w:rPr>
        <w:fldChar w:fldCharType="begin"/>
      </w:r>
      <w:r w:rsidRPr="00AB4FB9">
        <w:rPr>
          <w:sz w:val="32"/>
          <w:szCs w:val="32"/>
        </w:rPr>
        <w:instrText xml:space="preserve"> HYPERLINK "http://www.law.gov.kw/KWT_CC-Ar/00_2014/00_%D8%A7%D9%84%D8%AF%D8%A7%D8%A6%D8%B1%D8%A9%20%D8%A7%D9%84%D8%AA%D8%AC%D8%A7%D8%B1%D9%8A%D8%A9/KWT-CC-Ar_2014-06-17_00713_Taan.html" \l "TM2014_713_3" </w:instrText>
      </w:r>
      <w:r w:rsidRPr="00AB4FB9">
        <w:rPr>
          <w:sz w:val="32"/>
          <w:szCs w:val="32"/>
        </w:rPr>
        <w:fldChar w:fldCharType="separate"/>
      </w:r>
      <w:r w:rsidRPr="00AB4FB9">
        <w:rPr>
          <w:rStyle w:val="Hyperlink"/>
          <w:sz w:val="32"/>
          <w:szCs w:val="32"/>
        </w:rPr>
        <w:t xml:space="preserve">3- </w:t>
      </w:r>
      <w:r w:rsidRPr="00AB4FB9">
        <w:rPr>
          <w:rStyle w:val="Hyperlink"/>
          <w:sz w:val="32"/>
          <w:szCs w:val="32"/>
          <w:rtl/>
        </w:rPr>
        <w:t>إن نطاق ضمان المؤمن يتحدد بما تنص عليه وثيقة التأمين</w:t>
      </w:r>
      <w:r w:rsidRPr="00AB4FB9">
        <w:rPr>
          <w:rStyle w:val="Hyperlink"/>
          <w:sz w:val="32"/>
          <w:szCs w:val="32"/>
        </w:rPr>
        <w:t>.</w:t>
      </w:r>
      <w:r w:rsidRPr="00AB4FB9">
        <w:rPr>
          <w:sz w:val="32"/>
          <w:szCs w:val="32"/>
        </w:rPr>
        <w:fldChar w:fldCharType="end"/>
      </w:r>
    </w:p>
    <w:bookmarkStart w:id="6" w:name="Anchor53"/>
    <w:bookmarkEnd w:id="6"/>
    <w:p w:rsidR="00AB4FB9" w:rsidRPr="00AB4FB9" w:rsidRDefault="00AB4FB9" w:rsidP="00AB4FB9">
      <w:pPr>
        <w:rPr>
          <w:sz w:val="32"/>
          <w:szCs w:val="32"/>
        </w:rPr>
      </w:pPr>
      <w:r w:rsidRPr="00AB4FB9">
        <w:rPr>
          <w:sz w:val="32"/>
          <w:szCs w:val="32"/>
        </w:rPr>
        <w:fldChar w:fldCharType="begin"/>
      </w:r>
      <w:r w:rsidRPr="00AB4FB9">
        <w:rPr>
          <w:sz w:val="32"/>
          <w:szCs w:val="32"/>
        </w:rPr>
        <w:instrText xml:space="preserve"> HYPERLINK "http://www.law.gov.kw/KWT_CC-Ar/00_2014/00_%D8%A7%D9%84%D8%AF%D8%A7%D8%A6%D8%B1%D8%A9%20%D8%A7%D9%84%D8%AA%D8%AC%D8%A7%D8%B1%D9%8A%D8%A9/KWT-CC-Ar_2014-06-17_00713_Taan.html" \l "TM2014_713_4" </w:instrText>
      </w:r>
      <w:r w:rsidRPr="00AB4FB9">
        <w:rPr>
          <w:sz w:val="32"/>
          <w:szCs w:val="32"/>
        </w:rPr>
        <w:fldChar w:fldCharType="separate"/>
      </w:r>
      <w:r w:rsidRPr="00AB4FB9">
        <w:rPr>
          <w:rStyle w:val="Hyperlink"/>
          <w:sz w:val="32"/>
          <w:szCs w:val="32"/>
        </w:rPr>
        <w:t xml:space="preserve">4- </w:t>
      </w:r>
      <w:r w:rsidRPr="00AB4FB9">
        <w:rPr>
          <w:rStyle w:val="Hyperlink"/>
          <w:sz w:val="32"/>
          <w:szCs w:val="32"/>
          <w:rtl/>
        </w:rPr>
        <w:t>إن الجدل حول إنتهاء محكمة الموضوع بشكل سائغ الى عدم إعتبار الضرر موضوع النزاع مشمولاً بوثيقة التأمين لعدم كونه عجزاً دائماً حسب تقرير الطب الشرعي ومضمون الوثيقة هو جدل موضوعي غير جائز أمام محكمة التمييز</w:t>
      </w:r>
      <w:r w:rsidRPr="00AB4FB9">
        <w:rPr>
          <w:rStyle w:val="Hyperlink"/>
          <w:sz w:val="32"/>
          <w:szCs w:val="32"/>
        </w:rPr>
        <w:t>.</w:t>
      </w:r>
      <w:r w:rsidRPr="00AB4FB9">
        <w:rPr>
          <w:sz w:val="32"/>
          <w:szCs w:val="32"/>
        </w:rPr>
        <w:fldChar w:fldCharType="end"/>
      </w:r>
    </w:p>
    <w:bookmarkStart w:id="7" w:name="Anchor74"/>
    <w:bookmarkEnd w:id="7"/>
    <w:p w:rsidR="00AB4FB9" w:rsidRPr="00AB4FB9" w:rsidRDefault="00AB4FB9" w:rsidP="00AB4FB9">
      <w:pPr>
        <w:rPr>
          <w:sz w:val="32"/>
          <w:szCs w:val="32"/>
        </w:rPr>
      </w:pPr>
      <w:r w:rsidRPr="00AB4FB9">
        <w:rPr>
          <w:sz w:val="32"/>
          <w:szCs w:val="32"/>
        </w:rPr>
        <w:fldChar w:fldCharType="begin"/>
      </w:r>
      <w:r w:rsidRPr="00AB4FB9">
        <w:rPr>
          <w:sz w:val="32"/>
          <w:szCs w:val="32"/>
        </w:rPr>
        <w:instrText xml:space="preserve"> HYPERLINK "http://www.law.gov.kw/KWT_CC-Ar/00_2014/00_%D8%A7%D9%84%D8%AF%D8%A7%D8%A6%D8%B1%D8%A9%20%D8%A7%D9%84%D8%AA%D8%AC%D8%A7%D8%B1%D9%8A%D8%A9/KWT-CC-Ar_2014-06-17_00713_Taan.html" \l "TM2014_713_5" </w:instrText>
      </w:r>
      <w:r w:rsidRPr="00AB4FB9">
        <w:rPr>
          <w:sz w:val="32"/>
          <w:szCs w:val="32"/>
        </w:rPr>
        <w:fldChar w:fldCharType="separate"/>
      </w:r>
      <w:r w:rsidRPr="00AB4FB9">
        <w:rPr>
          <w:rStyle w:val="Hyperlink"/>
          <w:sz w:val="32"/>
          <w:szCs w:val="32"/>
        </w:rPr>
        <w:t xml:space="preserve">5- </w:t>
      </w:r>
      <w:r w:rsidRPr="00AB4FB9">
        <w:rPr>
          <w:rStyle w:val="Hyperlink"/>
          <w:sz w:val="32"/>
          <w:szCs w:val="32"/>
          <w:rtl/>
        </w:rPr>
        <w:t>إن الطعن بالتمييز القائم على غير الأسباب المحددة في قانون المرافعات يكون طعناً غير مقبول</w:t>
      </w:r>
      <w:r w:rsidRPr="00AB4FB9">
        <w:rPr>
          <w:rStyle w:val="Hyperlink"/>
          <w:sz w:val="32"/>
          <w:szCs w:val="32"/>
        </w:rPr>
        <w:t>.</w:t>
      </w:r>
      <w:r w:rsidRPr="00AB4FB9">
        <w:rPr>
          <w:sz w:val="32"/>
          <w:szCs w:val="32"/>
        </w:rPr>
        <w:fldChar w:fldCharType="end"/>
      </w:r>
      <w:r w:rsidRPr="00AB4FB9">
        <w:rPr>
          <w:sz w:val="32"/>
          <w:szCs w:val="32"/>
        </w:rPr>
        <w:br/>
      </w:r>
      <w:r w:rsidRPr="00AB4FB9">
        <w:rPr>
          <w:sz w:val="32"/>
          <w:szCs w:val="32"/>
        </w:rPr>
        <w:br/>
      </w:r>
      <w:r w:rsidRPr="00AB4FB9">
        <w:rPr>
          <w:sz w:val="32"/>
          <w:szCs w:val="32"/>
          <w:u w:val="single"/>
          <w:rtl/>
        </w:rPr>
        <w:t>ملاحظة</w:t>
      </w:r>
      <w:r w:rsidRPr="00AB4FB9">
        <w:rPr>
          <w:sz w:val="32"/>
          <w:szCs w:val="32"/>
          <w:u w:val="single"/>
        </w:rPr>
        <w:t xml:space="preserve"> :</w:t>
      </w:r>
      <w:r w:rsidRPr="00AB4FB9">
        <w:rPr>
          <w:sz w:val="32"/>
          <w:szCs w:val="32"/>
        </w:rPr>
        <w:br/>
      </w:r>
      <w:r w:rsidRPr="00AB4FB9">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AB4FB9" w:rsidRPr="00AB4FB9" w:rsidRDefault="00AB4FB9" w:rsidP="00AB4FB9">
      <w:pPr>
        <w:rPr>
          <w:sz w:val="32"/>
          <w:szCs w:val="32"/>
        </w:rPr>
      </w:pPr>
      <w:bookmarkStart w:id="8" w:name="Anchor85"/>
      <w:bookmarkEnd w:id="8"/>
      <w:r w:rsidRPr="00AB4FB9">
        <w:rPr>
          <w:b/>
          <w:bCs/>
          <w:sz w:val="32"/>
          <w:szCs w:val="32"/>
          <w:rtl/>
        </w:rPr>
        <w:t>المحكمة</w:t>
      </w:r>
    </w:p>
    <w:p w:rsidR="00AB4FB9" w:rsidRPr="00AB4FB9" w:rsidRDefault="00AB4FB9" w:rsidP="00AB4FB9">
      <w:pPr>
        <w:rPr>
          <w:sz w:val="32"/>
          <w:szCs w:val="32"/>
        </w:rPr>
      </w:pPr>
      <w:bookmarkStart w:id="9" w:name="Anchor86"/>
      <w:bookmarkEnd w:id="9"/>
      <w:r w:rsidRPr="00AB4FB9">
        <w:rPr>
          <w:sz w:val="32"/>
          <w:szCs w:val="32"/>
          <w:rtl/>
        </w:rPr>
        <w:t>بعد الاطلاع على الأوراق والمداولة</w:t>
      </w:r>
      <w:r w:rsidRPr="00AB4FB9">
        <w:rPr>
          <w:sz w:val="32"/>
          <w:szCs w:val="32"/>
        </w:rPr>
        <w:t>.</w:t>
      </w:r>
    </w:p>
    <w:p w:rsidR="00AB4FB9" w:rsidRPr="00AB4FB9" w:rsidRDefault="00AB4FB9" w:rsidP="00AB4FB9">
      <w:pPr>
        <w:rPr>
          <w:sz w:val="32"/>
          <w:szCs w:val="32"/>
        </w:rPr>
      </w:pPr>
      <w:bookmarkStart w:id="10" w:name="Anchor90"/>
      <w:bookmarkEnd w:id="10"/>
      <w:r w:rsidRPr="00AB4FB9">
        <w:rPr>
          <w:sz w:val="32"/>
          <w:szCs w:val="32"/>
          <w:rtl/>
        </w:rPr>
        <w:t xml:space="preserve">لما كان </w:t>
      </w:r>
      <w:bookmarkStart w:id="11" w:name="TM2014_713_1"/>
      <w:bookmarkEnd w:id="11"/>
      <w:r w:rsidRPr="00AB4FB9">
        <w:rPr>
          <w:b/>
          <w:bCs/>
          <w:sz w:val="32"/>
          <w:szCs w:val="32"/>
          <w:rtl/>
        </w:rPr>
        <w:t xml:space="preserve">من المقرر أن تحديد نطاق الدعوى هو من قبيل فهم الواقع في الدعوي ومما يدخل في سلطة محكمة الموضوع </w:t>
      </w:r>
      <w:r w:rsidRPr="00AB4FB9">
        <w:rPr>
          <w:sz w:val="32"/>
          <w:szCs w:val="32"/>
          <w:rtl/>
        </w:rPr>
        <w:t xml:space="preserve">كما أنه </w:t>
      </w:r>
      <w:bookmarkStart w:id="12" w:name="TM2014_713_2"/>
      <w:bookmarkEnd w:id="12"/>
      <w:r w:rsidRPr="00AB4FB9">
        <w:rPr>
          <w:b/>
          <w:bCs/>
          <w:sz w:val="32"/>
          <w:szCs w:val="32"/>
          <w:rtl/>
        </w:rPr>
        <w:t>وإن كانت محكمة الموضوع مقيده بطلبات الخصوم إلا أنه لها أن تحكم بما يتضمنه نطاق هذه الطلبات لزوماً وواقعاً وأنها وإن كانت لا تملك تغيير سبب الدعوى بإعتباره مصدر الحق المدعي به وكان هذا السبب لا يتغير بتغير الأدلة ووسائل الدفاع التي يستند اليها الخصوم فإن لها التصرف على حقيقة الدعوى من وقائعها وكافة الأدلة والشواهد المعروضة عليها</w:t>
      </w:r>
      <w:r w:rsidRPr="00AB4FB9">
        <w:rPr>
          <w:b/>
          <w:bCs/>
          <w:sz w:val="32"/>
          <w:szCs w:val="32"/>
        </w:rPr>
        <w:t>.</w:t>
      </w:r>
    </w:p>
    <w:p w:rsidR="00AB4FB9" w:rsidRPr="00AB4FB9" w:rsidRDefault="00AB4FB9" w:rsidP="00AB4FB9">
      <w:pPr>
        <w:rPr>
          <w:sz w:val="32"/>
          <w:szCs w:val="32"/>
        </w:rPr>
      </w:pPr>
      <w:bookmarkStart w:id="13" w:name="Anchor138"/>
      <w:bookmarkStart w:id="14" w:name="TM2014_713_3"/>
      <w:bookmarkEnd w:id="13"/>
      <w:bookmarkEnd w:id="14"/>
      <w:r w:rsidRPr="00AB4FB9">
        <w:rPr>
          <w:b/>
          <w:bCs/>
          <w:sz w:val="32"/>
          <w:szCs w:val="32"/>
          <w:rtl/>
        </w:rPr>
        <w:t>وكان نطاق ضمان المؤمن يتحدد بالحدود التي تنص عليها وثيقة التأمين وبما ينعقد الاتفاق عليه منها</w:t>
      </w:r>
      <w:r w:rsidRPr="00AB4FB9">
        <w:rPr>
          <w:b/>
          <w:bCs/>
          <w:sz w:val="32"/>
          <w:szCs w:val="32"/>
        </w:rPr>
        <w:t>.</w:t>
      </w:r>
      <w:r w:rsidRPr="00AB4FB9">
        <w:rPr>
          <w:sz w:val="32"/>
          <w:szCs w:val="32"/>
        </w:rPr>
        <w:t xml:space="preserve"> </w:t>
      </w:r>
      <w:r w:rsidRPr="00AB4FB9">
        <w:rPr>
          <w:sz w:val="32"/>
          <w:szCs w:val="32"/>
          <w:rtl/>
        </w:rPr>
        <w:t xml:space="preserve">لما كان ذلك، </w:t>
      </w:r>
      <w:bookmarkStart w:id="15" w:name="TM2014_713_4"/>
      <w:bookmarkEnd w:id="15"/>
      <w:r w:rsidRPr="00AB4FB9">
        <w:rPr>
          <w:b/>
          <w:bCs/>
          <w:sz w:val="32"/>
          <w:szCs w:val="32"/>
          <w:rtl/>
        </w:rPr>
        <w:t xml:space="preserve">وكان الحكم المطعون فيه والمؤيد للحكم </w:t>
      </w:r>
      <w:r w:rsidRPr="00AB4FB9">
        <w:rPr>
          <w:b/>
          <w:bCs/>
          <w:sz w:val="32"/>
          <w:szCs w:val="32"/>
          <w:rtl/>
        </w:rPr>
        <w:lastRenderedPageBreak/>
        <w:t>المستأنف وبما له من سلطة في تفسير العقود والشروط المختلف عليها قد خلص الى أن وثيقة التأمين اشترطت لاستحقاق مبلغ التأمين أن يكون العجز وهو الذي تغطيه الوثيقة عجزاً كلياً دائماً والذي من شأنه أن يمنع صاحبه من مزاولة أي مهنة أخرى أو أداء أي عمل يتكسب منه وأن الثابت من تقرير المجلس الطبي العام أن حالة الطاعنة هي العجز الدائم كما أن الأوراق قد خلت من أي دليل على أن حالة العجز التي أصابتها تمنعها من مزاولة أي عمل آخر ثم رتب على ذلك إنتفاء شروط إعفائها من سداد القرض، وكان هذا الذي خلص اليه الحكم وما أقام عليه قضاءه سائغاً وله أصله الثابت بالأوراق ويكفى لحمله ومن ثم فإن ما تثيره الطاعنة بسبب النعي والذي يدور حول المجادلة في انطباق شروط الوثيقة عليها استناداً إلى ما جاء بوصف حالتها من قبل المجلس الطبي العام أو خروج المحكمة عن نطاق طلباتها في الدعوي بندب خبير حسابي وليس إدارة الطب الشرعي فهو لا يعدو أن يكون جدلاً موضوعياً حول سلامة هذا الاستخلاص وسلطة محكمة الموضوع في تقدير وسائل الاثبات بما يكون معه هذا النعي غير مقبول</w:t>
      </w:r>
    </w:p>
    <w:p w:rsidR="00AB4FB9" w:rsidRPr="00AB4FB9" w:rsidRDefault="00AB4FB9" w:rsidP="00AB4FB9">
      <w:pPr>
        <w:rPr>
          <w:sz w:val="32"/>
          <w:szCs w:val="32"/>
        </w:rPr>
      </w:pPr>
      <w:bookmarkStart w:id="16" w:name="Anchor239"/>
      <w:bookmarkStart w:id="17" w:name="TM2014_713_5"/>
      <w:bookmarkEnd w:id="16"/>
      <w:bookmarkEnd w:id="17"/>
      <w:r w:rsidRPr="00AB4FB9">
        <w:rPr>
          <w:b/>
          <w:bCs/>
          <w:sz w:val="32"/>
          <w:szCs w:val="32"/>
          <w:rtl/>
        </w:rPr>
        <w:t>الأمر الذي يكون معه الطعن قد أقيم على غير الأسباب المبينة بالمادة 152 من قانون المرافعات مما يتعين معه التقرير بعدم قبوله عملا بالمادة 154/5 من ذات القانون</w:t>
      </w:r>
      <w:r w:rsidRPr="00AB4FB9">
        <w:rPr>
          <w:b/>
          <w:bCs/>
          <w:sz w:val="32"/>
          <w:szCs w:val="32"/>
        </w:rPr>
        <w:t>.</w:t>
      </w:r>
    </w:p>
    <w:p w:rsidR="00AB4FB9" w:rsidRPr="00AB4FB9" w:rsidRDefault="00AB4FB9" w:rsidP="00AB4FB9">
      <w:pPr>
        <w:rPr>
          <w:sz w:val="32"/>
          <w:szCs w:val="32"/>
        </w:rPr>
      </w:pPr>
      <w:bookmarkStart w:id="18" w:name="Anchor254"/>
      <w:bookmarkEnd w:id="18"/>
      <w:r w:rsidRPr="00AB4FB9">
        <w:rPr>
          <w:b/>
          <w:bCs/>
          <w:sz w:val="32"/>
          <w:szCs w:val="32"/>
          <w:rtl/>
        </w:rPr>
        <w:t>لذلك</w:t>
      </w:r>
    </w:p>
    <w:p w:rsidR="00AB4FB9" w:rsidRPr="00AB4FB9" w:rsidRDefault="00AB4FB9" w:rsidP="00AB4FB9">
      <w:pPr>
        <w:rPr>
          <w:sz w:val="32"/>
          <w:szCs w:val="32"/>
        </w:rPr>
      </w:pPr>
      <w:bookmarkStart w:id="19" w:name="Anchor255"/>
      <w:bookmarkEnd w:id="19"/>
      <w:r w:rsidRPr="00AB4FB9">
        <w:rPr>
          <w:sz w:val="32"/>
          <w:szCs w:val="32"/>
          <w:rtl/>
        </w:rPr>
        <w:t xml:space="preserve">قررت المحكمة </w:t>
      </w:r>
      <w:r w:rsidRPr="00AB4FB9">
        <w:rPr>
          <w:sz w:val="32"/>
          <w:szCs w:val="32"/>
        </w:rPr>
        <w:t xml:space="preserve">- </w:t>
      </w:r>
      <w:r w:rsidRPr="00AB4FB9">
        <w:rPr>
          <w:sz w:val="32"/>
          <w:szCs w:val="32"/>
          <w:rtl/>
        </w:rPr>
        <w:t xml:space="preserve">في غرفة المشورة </w:t>
      </w:r>
      <w:r w:rsidRPr="00AB4FB9">
        <w:rPr>
          <w:sz w:val="32"/>
          <w:szCs w:val="32"/>
        </w:rPr>
        <w:t xml:space="preserve">- </w:t>
      </w:r>
      <w:r w:rsidRPr="00AB4FB9">
        <w:rPr>
          <w:sz w:val="32"/>
          <w:szCs w:val="32"/>
          <w:rtl/>
        </w:rPr>
        <w:t>عدم قبول الطعن وألزمت الطاعنة المصروفات ومبلغ عشرين دينارا مقابل أتعاب المحاماة مع مصادرة الكفالة</w:t>
      </w:r>
      <w:r w:rsidRPr="00AB4FB9">
        <w:rPr>
          <w:sz w:val="32"/>
          <w:szCs w:val="32"/>
        </w:rPr>
        <w:t>.</w:t>
      </w:r>
    </w:p>
    <w:p w:rsidR="00AB4FB9" w:rsidRPr="00AB4FB9" w:rsidRDefault="00AB4FB9" w:rsidP="00AB4FB9">
      <w:pPr>
        <w:rPr>
          <w:sz w:val="32"/>
          <w:szCs w:val="32"/>
        </w:rPr>
      </w:pPr>
    </w:p>
    <w:p w:rsidR="00AB4FB9" w:rsidRPr="00AB4FB9" w:rsidRDefault="00AB4FB9" w:rsidP="00AB4FB9">
      <w:pPr>
        <w:rPr>
          <w:sz w:val="32"/>
          <w:szCs w:val="32"/>
        </w:rPr>
      </w:pPr>
      <w:bookmarkStart w:id="20" w:name="Anchor271"/>
      <w:bookmarkEnd w:id="20"/>
      <w:r w:rsidRPr="00AB4FB9">
        <w:rPr>
          <w:sz w:val="32"/>
          <w:szCs w:val="32"/>
        </w:rPr>
        <w:t>* * *</w:t>
      </w:r>
    </w:p>
    <w:p w:rsidR="008C2BA0" w:rsidRPr="00AB4FB9" w:rsidRDefault="008C2BA0">
      <w:pPr>
        <w:rPr>
          <w:sz w:val="32"/>
          <w:szCs w:val="32"/>
        </w:rPr>
      </w:pPr>
    </w:p>
    <w:sectPr w:rsidR="008C2BA0" w:rsidRPr="00AB4FB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6ED"/>
    <w:rsid w:val="0003272B"/>
    <w:rsid w:val="003926ED"/>
    <w:rsid w:val="008C2BA0"/>
    <w:rsid w:val="00AB4F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F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467562">
      <w:bodyDiv w:val="1"/>
      <w:marLeft w:val="0"/>
      <w:marRight w:val="0"/>
      <w:marTop w:val="0"/>
      <w:marBottom w:val="0"/>
      <w:divBdr>
        <w:top w:val="none" w:sz="0" w:space="0" w:color="auto"/>
        <w:left w:val="none" w:sz="0" w:space="0" w:color="auto"/>
        <w:bottom w:val="none" w:sz="0" w:space="0" w:color="auto"/>
        <w:right w:val="none" w:sz="0" w:space="0" w:color="auto"/>
      </w:divBdr>
      <w:divsChild>
        <w:div w:id="1498105970">
          <w:marLeft w:val="0"/>
          <w:marRight w:val="0"/>
          <w:marTop w:val="0"/>
          <w:marBottom w:val="0"/>
          <w:divBdr>
            <w:top w:val="none" w:sz="0" w:space="0" w:color="auto"/>
            <w:left w:val="none" w:sz="0" w:space="0" w:color="auto"/>
            <w:bottom w:val="none" w:sz="0" w:space="0" w:color="auto"/>
            <w:right w:val="none" w:sz="0" w:space="0" w:color="auto"/>
          </w:divBdr>
        </w:div>
        <w:div w:id="1487169371">
          <w:marLeft w:val="0"/>
          <w:marRight w:val="0"/>
          <w:marTop w:val="0"/>
          <w:marBottom w:val="0"/>
          <w:divBdr>
            <w:top w:val="none" w:sz="0" w:space="0" w:color="auto"/>
            <w:left w:val="none" w:sz="0" w:space="0" w:color="auto"/>
            <w:bottom w:val="none" w:sz="0" w:space="0" w:color="auto"/>
            <w:right w:val="none" w:sz="0" w:space="0" w:color="auto"/>
          </w:divBdr>
        </w:div>
        <w:div w:id="950935542">
          <w:marLeft w:val="0"/>
          <w:marRight w:val="0"/>
          <w:marTop w:val="0"/>
          <w:marBottom w:val="0"/>
          <w:divBdr>
            <w:top w:val="none" w:sz="0" w:space="0" w:color="auto"/>
            <w:left w:val="none" w:sz="0" w:space="0" w:color="auto"/>
            <w:bottom w:val="none" w:sz="0" w:space="0" w:color="auto"/>
            <w:right w:val="none" w:sz="0" w:space="0" w:color="auto"/>
          </w:divBdr>
        </w:div>
        <w:div w:id="845171771">
          <w:marLeft w:val="0"/>
          <w:marRight w:val="0"/>
          <w:marTop w:val="0"/>
          <w:marBottom w:val="0"/>
          <w:divBdr>
            <w:top w:val="none" w:sz="0" w:space="0" w:color="auto"/>
            <w:left w:val="none" w:sz="0" w:space="0" w:color="auto"/>
            <w:bottom w:val="none" w:sz="0" w:space="0" w:color="auto"/>
            <w:right w:val="none" w:sz="0" w:space="0" w:color="auto"/>
          </w:divBdr>
        </w:div>
        <w:div w:id="586420448">
          <w:marLeft w:val="0"/>
          <w:marRight w:val="0"/>
          <w:marTop w:val="0"/>
          <w:marBottom w:val="0"/>
          <w:divBdr>
            <w:top w:val="none" w:sz="0" w:space="0" w:color="auto"/>
            <w:left w:val="none" w:sz="0" w:space="0" w:color="auto"/>
            <w:bottom w:val="none" w:sz="0" w:space="0" w:color="auto"/>
            <w:right w:val="none" w:sz="0" w:space="0" w:color="auto"/>
          </w:divBdr>
        </w:div>
        <w:div w:id="1778064697">
          <w:marLeft w:val="0"/>
          <w:marRight w:val="0"/>
          <w:marTop w:val="0"/>
          <w:marBottom w:val="0"/>
          <w:divBdr>
            <w:top w:val="none" w:sz="0" w:space="0" w:color="auto"/>
            <w:left w:val="none" w:sz="0" w:space="0" w:color="auto"/>
            <w:bottom w:val="none" w:sz="0" w:space="0" w:color="auto"/>
            <w:right w:val="none" w:sz="0" w:space="0" w:color="auto"/>
          </w:divBdr>
        </w:div>
        <w:div w:id="307518632">
          <w:marLeft w:val="0"/>
          <w:marRight w:val="0"/>
          <w:marTop w:val="0"/>
          <w:marBottom w:val="0"/>
          <w:divBdr>
            <w:top w:val="none" w:sz="0" w:space="0" w:color="auto"/>
            <w:left w:val="none" w:sz="0" w:space="0" w:color="auto"/>
            <w:bottom w:val="none" w:sz="0" w:space="0" w:color="auto"/>
            <w:right w:val="none" w:sz="0" w:space="0" w:color="auto"/>
          </w:divBdr>
        </w:div>
        <w:div w:id="901448661">
          <w:marLeft w:val="0"/>
          <w:marRight w:val="0"/>
          <w:marTop w:val="0"/>
          <w:marBottom w:val="0"/>
          <w:divBdr>
            <w:top w:val="none" w:sz="0" w:space="0" w:color="auto"/>
            <w:left w:val="none" w:sz="0" w:space="0" w:color="auto"/>
            <w:bottom w:val="none" w:sz="0" w:space="0" w:color="auto"/>
            <w:right w:val="none" w:sz="0" w:space="0" w:color="auto"/>
          </w:divBdr>
        </w:div>
        <w:div w:id="233126609">
          <w:marLeft w:val="0"/>
          <w:marRight w:val="0"/>
          <w:marTop w:val="0"/>
          <w:marBottom w:val="0"/>
          <w:divBdr>
            <w:top w:val="none" w:sz="0" w:space="0" w:color="auto"/>
            <w:left w:val="none" w:sz="0" w:space="0" w:color="auto"/>
            <w:bottom w:val="none" w:sz="0" w:space="0" w:color="auto"/>
            <w:right w:val="none" w:sz="0" w:space="0" w:color="auto"/>
          </w:divBdr>
        </w:div>
        <w:div w:id="1841043609">
          <w:marLeft w:val="0"/>
          <w:marRight w:val="0"/>
          <w:marTop w:val="0"/>
          <w:marBottom w:val="0"/>
          <w:divBdr>
            <w:top w:val="none" w:sz="0" w:space="0" w:color="auto"/>
            <w:left w:val="none" w:sz="0" w:space="0" w:color="auto"/>
            <w:bottom w:val="none" w:sz="0" w:space="0" w:color="auto"/>
            <w:right w:val="none" w:sz="0" w:space="0" w:color="auto"/>
          </w:divBdr>
        </w:div>
        <w:div w:id="1084643653">
          <w:marLeft w:val="0"/>
          <w:marRight w:val="0"/>
          <w:marTop w:val="0"/>
          <w:marBottom w:val="0"/>
          <w:divBdr>
            <w:top w:val="none" w:sz="0" w:space="0" w:color="auto"/>
            <w:left w:val="none" w:sz="0" w:space="0" w:color="auto"/>
            <w:bottom w:val="none" w:sz="0" w:space="0" w:color="auto"/>
            <w:right w:val="none" w:sz="0" w:space="0" w:color="auto"/>
          </w:divBdr>
        </w:div>
        <w:div w:id="1426726840">
          <w:marLeft w:val="0"/>
          <w:marRight w:val="0"/>
          <w:marTop w:val="0"/>
          <w:marBottom w:val="0"/>
          <w:divBdr>
            <w:top w:val="none" w:sz="0" w:space="0" w:color="auto"/>
            <w:left w:val="none" w:sz="0" w:space="0" w:color="auto"/>
            <w:bottom w:val="none" w:sz="0" w:space="0" w:color="auto"/>
            <w:right w:val="none" w:sz="0" w:space="0" w:color="auto"/>
          </w:divBdr>
        </w:div>
        <w:div w:id="1439907120">
          <w:marLeft w:val="0"/>
          <w:marRight w:val="0"/>
          <w:marTop w:val="0"/>
          <w:marBottom w:val="0"/>
          <w:divBdr>
            <w:top w:val="none" w:sz="0" w:space="0" w:color="auto"/>
            <w:left w:val="none" w:sz="0" w:space="0" w:color="auto"/>
            <w:bottom w:val="none" w:sz="0" w:space="0" w:color="auto"/>
            <w:right w:val="none" w:sz="0" w:space="0" w:color="auto"/>
          </w:divBdr>
        </w:div>
        <w:div w:id="1783763736">
          <w:marLeft w:val="0"/>
          <w:marRight w:val="0"/>
          <w:marTop w:val="0"/>
          <w:marBottom w:val="0"/>
          <w:divBdr>
            <w:top w:val="none" w:sz="0" w:space="0" w:color="auto"/>
            <w:left w:val="none" w:sz="0" w:space="0" w:color="auto"/>
            <w:bottom w:val="none" w:sz="0" w:space="0" w:color="auto"/>
            <w:right w:val="none" w:sz="0" w:space="0" w:color="auto"/>
          </w:divBdr>
        </w:div>
        <w:div w:id="122504605">
          <w:marLeft w:val="0"/>
          <w:marRight w:val="0"/>
          <w:marTop w:val="0"/>
          <w:marBottom w:val="0"/>
          <w:divBdr>
            <w:top w:val="none" w:sz="0" w:space="0" w:color="auto"/>
            <w:left w:val="none" w:sz="0" w:space="0" w:color="auto"/>
            <w:bottom w:val="none" w:sz="0" w:space="0" w:color="auto"/>
            <w:right w:val="none" w:sz="0" w:space="0" w:color="auto"/>
          </w:divBdr>
        </w:div>
      </w:divsChild>
    </w:div>
    <w:div w:id="1116488842">
      <w:bodyDiv w:val="1"/>
      <w:marLeft w:val="0"/>
      <w:marRight w:val="0"/>
      <w:marTop w:val="0"/>
      <w:marBottom w:val="0"/>
      <w:divBdr>
        <w:top w:val="none" w:sz="0" w:space="0" w:color="auto"/>
        <w:left w:val="none" w:sz="0" w:space="0" w:color="auto"/>
        <w:bottom w:val="none" w:sz="0" w:space="0" w:color="auto"/>
        <w:right w:val="none" w:sz="0" w:space="0" w:color="auto"/>
      </w:divBdr>
      <w:divsChild>
        <w:div w:id="1010643318">
          <w:marLeft w:val="0"/>
          <w:marRight w:val="0"/>
          <w:marTop w:val="0"/>
          <w:marBottom w:val="0"/>
          <w:divBdr>
            <w:top w:val="none" w:sz="0" w:space="0" w:color="auto"/>
            <w:left w:val="none" w:sz="0" w:space="0" w:color="auto"/>
            <w:bottom w:val="none" w:sz="0" w:space="0" w:color="auto"/>
            <w:right w:val="none" w:sz="0" w:space="0" w:color="auto"/>
          </w:divBdr>
        </w:div>
        <w:div w:id="250164405">
          <w:marLeft w:val="0"/>
          <w:marRight w:val="0"/>
          <w:marTop w:val="0"/>
          <w:marBottom w:val="0"/>
          <w:divBdr>
            <w:top w:val="none" w:sz="0" w:space="0" w:color="auto"/>
            <w:left w:val="none" w:sz="0" w:space="0" w:color="auto"/>
            <w:bottom w:val="none" w:sz="0" w:space="0" w:color="auto"/>
            <w:right w:val="none" w:sz="0" w:space="0" w:color="auto"/>
          </w:divBdr>
        </w:div>
        <w:div w:id="213078999">
          <w:marLeft w:val="0"/>
          <w:marRight w:val="0"/>
          <w:marTop w:val="0"/>
          <w:marBottom w:val="0"/>
          <w:divBdr>
            <w:top w:val="none" w:sz="0" w:space="0" w:color="auto"/>
            <w:left w:val="none" w:sz="0" w:space="0" w:color="auto"/>
            <w:bottom w:val="none" w:sz="0" w:space="0" w:color="auto"/>
            <w:right w:val="none" w:sz="0" w:space="0" w:color="auto"/>
          </w:divBdr>
        </w:div>
        <w:div w:id="1831865885">
          <w:marLeft w:val="0"/>
          <w:marRight w:val="0"/>
          <w:marTop w:val="0"/>
          <w:marBottom w:val="0"/>
          <w:divBdr>
            <w:top w:val="none" w:sz="0" w:space="0" w:color="auto"/>
            <w:left w:val="none" w:sz="0" w:space="0" w:color="auto"/>
            <w:bottom w:val="none" w:sz="0" w:space="0" w:color="auto"/>
            <w:right w:val="none" w:sz="0" w:space="0" w:color="auto"/>
          </w:divBdr>
        </w:div>
        <w:div w:id="1883247428">
          <w:marLeft w:val="0"/>
          <w:marRight w:val="0"/>
          <w:marTop w:val="0"/>
          <w:marBottom w:val="0"/>
          <w:divBdr>
            <w:top w:val="none" w:sz="0" w:space="0" w:color="auto"/>
            <w:left w:val="none" w:sz="0" w:space="0" w:color="auto"/>
            <w:bottom w:val="none" w:sz="0" w:space="0" w:color="auto"/>
            <w:right w:val="none" w:sz="0" w:space="0" w:color="auto"/>
          </w:divBdr>
        </w:div>
        <w:div w:id="346710541">
          <w:marLeft w:val="0"/>
          <w:marRight w:val="0"/>
          <w:marTop w:val="0"/>
          <w:marBottom w:val="0"/>
          <w:divBdr>
            <w:top w:val="none" w:sz="0" w:space="0" w:color="auto"/>
            <w:left w:val="none" w:sz="0" w:space="0" w:color="auto"/>
            <w:bottom w:val="none" w:sz="0" w:space="0" w:color="auto"/>
            <w:right w:val="none" w:sz="0" w:space="0" w:color="auto"/>
          </w:divBdr>
        </w:div>
        <w:div w:id="692344269">
          <w:marLeft w:val="0"/>
          <w:marRight w:val="0"/>
          <w:marTop w:val="0"/>
          <w:marBottom w:val="0"/>
          <w:divBdr>
            <w:top w:val="none" w:sz="0" w:space="0" w:color="auto"/>
            <w:left w:val="none" w:sz="0" w:space="0" w:color="auto"/>
            <w:bottom w:val="none" w:sz="0" w:space="0" w:color="auto"/>
            <w:right w:val="none" w:sz="0" w:space="0" w:color="auto"/>
          </w:divBdr>
        </w:div>
        <w:div w:id="794904027">
          <w:marLeft w:val="0"/>
          <w:marRight w:val="0"/>
          <w:marTop w:val="0"/>
          <w:marBottom w:val="0"/>
          <w:divBdr>
            <w:top w:val="none" w:sz="0" w:space="0" w:color="auto"/>
            <w:left w:val="none" w:sz="0" w:space="0" w:color="auto"/>
            <w:bottom w:val="none" w:sz="0" w:space="0" w:color="auto"/>
            <w:right w:val="none" w:sz="0" w:space="0" w:color="auto"/>
          </w:divBdr>
        </w:div>
        <w:div w:id="19941817">
          <w:marLeft w:val="0"/>
          <w:marRight w:val="0"/>
          <w:marTop w:val="0"/>
          <w:marBottom w:val="0"/>
          <w:divBdr>
            <w:top w:val="none" w:sz="0" w:space="0" w:color="auto"/>
            <w:left w:val="none" w:sz="0" w:space="0" w:color="auto"/>
            <w:bottom w:val="none" w:sz="0" w:space="0" w:color="auto"/>
            <w:right w:val="none" w:sz="0" w:space="0" w:color="auto"/>
          </w:divBdr>
        </w:div>
        <w:div w:id="1433669114">
          <w:marLeft w:val="0"/>
          <w:marRight w:val="0"/>
          <w:marTop w:val="0"/>
          <w:marBottom w:val="0"/>
          <w:divBdr>
            <w:top w:val="none" w:sz="0" w:space="0" w:color="auto"/>
            <w:left w:val="none" w:sz="0" w:space="0" w:color="auto"/>
            <w:bottom w:val="none" w:sz="0" w:space="0" w:color="auto"/>
            <w:right w:val="none" w:sz="0" w:space="0" w:color="auto"/>
          </w:divBdr>
        </w:div>
        <w:div w:id="694428530">
          <w:marLeft w:val="0"/>
          <w:marRight w:val="0"/>
          <w:marTop w:val="0"/>
          <w:marBottom w:val="0"/>
          <w:divBdr>
            <w:top w:val="none" w:sz="0" w:space="0" w:color="auto"/>
            <w:left w:val="none" w:sz="0" w:space="0" w:color="auto"/>
            <w:bottom w:val="none" w:sz="0" w:space="0" w:color="auto"/>
            <w:right w:val="none" w:sz="0" w:space="0" w:color="auto"/>
          </w:divBdr>
        </w:div>
        <w:div w:id="1726836393">
          <w:marLeft w:val="0"/>
          <w:marRight w:val="0"/>
          <w:marTop w:val="0"/>
          <w:marBottom w:val="0"/>
          <w:divBdr>
            <w:top w:val="none" w:sz="0" w:space="0" w:color="auto"/>
            <w:left w:val="none" w:sz="0" w:space="0" w:color="auto"/>
            <w:bottom w:val="none" w:sz="0" w:space="0" w:color="auto"/>
            <w:right w:val="none" w:sz="0" w:space="0" w:color="auto"/>
          </w:divBdr>
        </w:div>
        <w:div w:id="1831747874">
          <w:marLeft w:val="0"/>
          <w:marRight w:val="0"/>
          <w:marTop w:val="0"/>
          <w:marBottom w:val="0"/>
          <w:divBdr>
            <w:top w:val="none" w:sz="0" w:space="0" w:color="auto"/>
            <w:left w:val="none" w:sz="0" w:space="0" w:color="auto"/>
            <w:bottom w:val="none" w:sz="0" w:space="0" w:color="auto"/>
            <w:right w:val="none" w:sz="0" w:space="0" w:color="auto"/>
          </w:divBdr>
        </w:div>
        <w:div w:id="1089276718">
          <w:marLeft w:val="0"/>
          <w:marRight w:val="0"/>
          <w:marTop w:val="0"/>
          <w:marBottom w:val="0"/>
          <w:divBdr>
            <w:top w:val="none" w:sz="0" w:space="0" w:color="auto"/>
            <w:left w:val="none" w:sz="0" w:space="0" w:color="auto"/>
            <w:bottom w:val="none" w:sz="0" w:space="0" w:color="auto"/>
            <w:right w:val="none" w:sz="0" w:space="0" w:color="auto"/>
          </w:divBdr>
        </w:div>
        <w:div w:id="1821189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2020-04-26T11:51:00Z</dcterms:created>
  <dcterms:modified xsi:type="dcterms:W3CDTF">2020-04-26T11:51:00Z</dcterms:modified>
</cp:coreProperties>
</file>