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D70" w:rsidRPr="00B57D70" w:rsidRDefault="00B57D70" w:rsidP="00B57D70">
      <w:pPr>
        <w:jc w:val="center"/>
        <w:rPr>
          <w:sz w:val="32"/>
          <w:szCs w:val="32"/>
          <w:lang w:bidi="ar-EG"/>
        </w:rPr>
      </w:pPr>
      <w:bookmarkStart w:id="0" w:name="Anchor1"/>
      <w:bookmarkEnd w:id="0"/>
      <w:r w:rsidRPr="00B57D70">
        <w:rPr>
          <w:sz w:val="32"/>
          <w:szCs w:val="32"/>
          <w:rtl/>
        </w:rPr>
        <w:t xml:space="preserve">الطعن </w:t>
      </w:r>
      <w:bookmarkStart w:id="1" w:name="_GoBack"/>
      <w:bookmarkEnd w:id="1"/>
      <w:r w:rsidRPr="00B57D70">
        <w:rPr>
          <w:sz w:val="32"/>
          <w:szCs w:val="32"/>
          <w:rtl/>
        </w:rPr>
        <w:t>رقم 767/2013</w:t>
      </w:r>
    </w:p>
    <w:p w:rsidR="00B57D70" w:rsidRPr="00B57D70" w:rsidRDefault="00B57D70" w:rsidP="00B57D70">
      <w:pPr>
        <w:rPr>
          <w:sz w:val="32"/>
          <w:szCs w:val="32"/>
          <w:lang w:bidi="ar-EG"/>
        </w:rPr>
      </w:pPr>
      <w:bookmarkStart w:id="2" w:name="Anchor6"/>
      <w:bookmarkEnd w:id="2"/>
      <w:r w:rsidRPr="00B57D70">
        <w:rPr>
          <w:sz w:val="32"/>
          <w:szCs w:val="32"/>
          <w:rtl/>
        </w:rPr>
        <w:t>هيئة المحكمة</w:t>
      </w:r>
      <w:r w:rsidRPr="00B57D70">
        <w:rPr>
          <w:sz w:val="32"/>
          <w:szCs w:val="32"/>
          <w:lang w:bidi="ar-EG"/>
        </w:rPr>
        <w:t xml:space="preserve">: </w:t>
      </w:r>
      <w:r w:rsidRPr="00B57D70">
        <w:rPr>
          <w:sz w:val="32"/>
          <w:szCs w:val="32"/>
          <w:rtl/>
        </w:rPr>
        <w:t>برئاسة السيد المستشـــار أنور علي بورسلي وكيل المحكمة وعضوية السادة المستشارين زياد غازي وأحمد علي راجح ومجدي محمد جاد وفيصل عبدالحميد حرحش</w:t>
      </w:r>
    </w:p>
    <w:bookmarkStart w:id="3" w:name="Anchor30"/>
    <w:bookmarkEnd w:id="3"/>
    <w:p w:rsidR="00B57D70" w:rsidRPr="00B57D70" w:rsidRDefault="00B57D70" w:rsidP="00B57D70">
      <w:pPr>
        <w:rPr>
          <w:sz w:val="32"/>
          <w:szCs w:val="32"/>
          <w:lang w:bidi="ar-EG"/>
        </w:rPr>
      </w:pPr>
      <w:r w:rsidRPr="00B57D70">
        <w:rPr>
          <w:sz w:val="32"/>
          <w:szCs w:val="32"/>
          <w:lang w:bidi="ar-EG"/>
        </w:rPr>
        <w:fldChar w:fldCharType="begin"/>
      </w:r>
      <w:r w:rsidRPr="00B57D70">
        <w:rPr>
          <w:sz w:val="32"/>
          <w:szCs w:val="32"/>
          <w:lang w:bidi="ar-EG"/>
        </w:rPr>
        <w:instrText xml:space="preserve"> HYPERLINK "http://www.law.gov.kw/KWT_CC-Ar/00_2014/00_%D8%A7%D9%84%D8%AF%D8%A7%D8%A6%D8%B1%D8%A9%20%D8%A7%D9%84%D8%AA%D8%AC%D8%A7%D8%B1%D9%8A%D8%A9/KWT-CC-Ar_2014-02-19_00767_Taan.html" \l "TM2014_767_1" </w:instrText>
      </w:r>
      <w:r w:rsidRPr="00B57D70">
        <w:rPr>
          <w:sz w:val="32"/>
          <w:szCs w:val="32"/>
          <w:lang w:bidi="ar-EG"/>
        </w:rPr>
        <w:fldChar w:fldCharType="separate"/>
      </w:r>
      <w:r w:rsidRPr="00B57D70">
        <w:rPr>
          <w:rStyle w:val="Hyperlink"/>
          <w:sz w:val="32"/>
          <w:szCs w:val="32"/>
          <w:lang w:bidi="ar-EG"/>
        </w:rPr>
        <w:t xml:space="preserve">1- </w:t>
      </w:r>
      <w:r w:rsidRPr="00B57D70">
        <w:rPr>
          <w:rStyle w:val="Hyperlink"/>
          <w:sz w:val="32"/>
          <w:szCs w:val="32"/>
          <w:rtl/>
        </w:rPr>
        <w:t>ان على المحكمة ان تجيب على كل طلب او وجه دفاع يدلي به احد الخصوم ويطلب اليها الفصل فيه ويكون فصله مما يجوز ان يرتب عليه تغيير وجه الرأي في الدعوى تحت طائلة اعتبار الحكم خالياً من الأسباب</w:t>
      </w:r>
      <w:r w:rsidRPr="00B57D70">
        <w:rPr>
          <w:rStyle w:val="Hyperlink"/>
          <w:sz w:val="32"/>
          <w:szCs w:val="32"/>
          <w:lang w:bidi="ar-EG"/>
        </w:rPr>
        <w:t>.</w:t>
      </w:r>
      <w:r w:rsidRPr="00B57D70">
        <w:rPr>
          <w:sz w:val="32"/>
          <w:szCs w:val="32"/>
          <w:lang w:bidi="ar-EG"/>
        </w:rPr>
        <w:fldChar w:fldCharType="end"/>
      </w:r>
      <w:r w:rsidRPr="00B57D70">
        <w:rPr>
          <w:sz w:val="32"/>
          <w:szCs w:val="32"/>
          <w:lang w:bidi="ar-EG"/>
        </w:rPr>
        <w:br/>
      </w:r>
      <w:r w:rsidRPr="00B57D70">
        <w:rPr>
          <w:sz w:val="32"/>
          <w:szCs w:val="32"/>
          <w:lang w:bidi="ar-EG"/>
        </w:rPr>
        <w:br/>
      </w:r>
      <w:r w:rsidRPr="00B57D70">
        <w:rPr>
          <w:sz w:val="32"/>
          <w:szCs w:val="32"/>
          <w:u w:val="single"/>
          <w:rtl/>
        </w:rPr>
        <w:t>ملاحظة</w:t>
      </w:r>
      <w:r w:rsidRPr="00B57D70">
        <w:rPr>
          <w:sz w:val="32"/>
          <w:szCs w:val="32"/>
          <w:u w:val="single"/>
          <w:lang w:bidi="ar-EG"/>
        </w:rPr>
        <w:t xml:space="preserve"> :</w:t>
      </w:r>
      <w:r w:rsidRPr="00B57D70">
        <w:rPr>
          <w:sz w:val="32"/>
          <w:szCs w:val="32"/>
          <w:lang w:bidi="ar-EG"/>
        </w:rPr>
        <w:br/>
      </w:r>
      <w:r w:rsidRPr="00B57D70">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B57D70" w:rsidRPr="00B57D70" w:rsidRDefault="00B57D70" w:rsidP="00B57D70">
      <w:pPr>
        <w:rPr>
          <w:sz w:val="32"/>
          <w:szCs w:val="32"/>
          <w:lang w:bidi="ar-EG"/>
        </w:rPr>
      </w:pPr>
      <w:bookmarkStart w:id="4" w:name="Anchor48"/>
      <w:bookmarkEnd w:id="4"/>
      <w:r w:rsidRPr="00B57D70">
        <w:rPr>
          <w:b/>
          <w:bCs/>
          <w:sz w:val="32"/>
          <w:szCs w:val="32"/>
          <w:rtl/>
        </w:rPr>
        <w:t>المحكمـــــة</w:t>
      </w:r>
    </w:p>
    <w:p w:rsidR="00B57D70" w:rsidRPr="00B57D70" w:rsidRDefault="00B57D70" w:rsidP="00B57D70">
      <w:pPr>
        <w:rPr>
          <w:sz w:val="32"/>
          <w:szCs w:val="32"/>
          <w:lang w:bidi="ar-EG"/>
        </w:rPr>
      </w:pPr>
      <w:bookmarkStart w:id="5" w:name="Anchor49"/>
      <w:bookmarkEnd w:id="5"/>
      <w:r w:rsidRPr="00B57D70">
        <w:rPr>
          <w:sz w:val="32"/>
          <w:szCs w:val="32"/>
          <w:rtl/>
        </w:rPr>
        <w:t>بعد سماع المرافعة ، والاطلاع على الأوراق، والمداولة</w:t>
      </w:r>
      <w:r w:rsidRPr="00B57D70">
        <w:rPr>
          <w:sz w:val="32"/>
          <w:szCs w:val="32"/>
          <w:lang w:bidi="ar-EG"/>
        </w:rPr>
        <w:t>.</w:t>
      </w:r>
    </w:p>
    <w:p w:rsidR="00B57D70" w:rsidRPr="00B57D70" w:rsidRDefault="00B57D70" w:rsidP="00B57D70">
      <w:pPr>
        <w:rPr>
          <w:sz w:val="32"/>
          <w:szCs w:val="32"/>
          <w:lang w:bidi="ar-EG"/>
        </w:rPr>
      </w:pPr>
      <w:bookmarkStart w:id="6" w:name="Anchor56"/>
      <w:bookmarkEnd w:id="6"/>
      <w:r w:rsidRPr="00B57D70">
        <w:rPr>
          <w:sz w:val="32"/>
          <w:szCs w:val="32"/>
          <w:rtl/>
        </w:rPr>
        <w:t>حيث إن الطعن إستوفى أوضاعه الشكلية</w:t>
      </w:r>
      <w:r w:rsidRPr="00B57D70">
        <w:rPr>
          <w:sz w:val="32"/>
          <w:szCs w:val="32"/>
          <w:lang w:bidi="ar-EG"/>
        </w:rPr>
        <w:t>.</w:t>
      </w:r>
    </w:p>
    <w:p w:rsidR="00B57D70" w:rsidRPr="00B57D70" w:rsidRDefault="00B57D70" w:rsidP="00B57D70">
      <w:pPr>
        <w:rPr>
          <w:sz w:val="32"/>
          <w:szCs w:val="32"/>
          <w:lang w:bidi="ar-EG"/>
        </w:rPr>
      </w:pPr>
      <w:bookmarkStart w:id="7" w:name="Anchor61"/>
      <w:bookmarkEnd w:id="7"/>
      <w:r w:rsidRPr="00B57D70">
        <w:rPr>
          <w:sz w:val="32"/>
          <w:szCs w:val="32"/>
          <w:rtl/>
        </w:rPr>
        <w:t xml:space="preserve">وحيث إن الوقائع تتحصل على ما يبين من الحكم المطعون فيه وسائر الأوراق في أن الطاعن أقام على المطعون ضده الدعوى رقم 6286 لسنة 2008 تجارى كلي بطلب الحكم </w:t>
      </w:r>
      <w:r w:rsidRPr="00B57D70">
        <w:rPr>
          <w:sz w:val="32"/>
          <w:szCs w:val="32"/>
          <w:lang w:bidi="ar-EG"/>
        </w:rPr>
        <w:t xml:space="preserve">- </w:t>
      </w:r>
      <w:r w:rsidRPr="00B57D70">
        <w:rPr>
          <w:sz w:val="32"/>
          <w:szCs w:val="32"/>
          <w:rtl/>
        </w:rPr>
        <w:t>وفقاً لطلباته الختامية</w:t>
      </w:r>
      <w:r w:rsidRPr="00B57D70">
        <w:rPr>
          <w:sz w:val="32"/>
          <w:szCs w:val="32"/>
          <w:lang w:bidi="ar-EG"/>
        </w:rPr>
        <w:t xml:space="preserve">- </w:t>
      </w:r>
      <w:r w:rsidRPr="00B57D70">
        <w:rPr>
          <w:sz w:val="32"/>
          <w:szCs w:val="32"/>
          <w:rtl/>
        </w:rPr>
        <w:t xml:space="preserve">بالزامه بأن يؤدي له مبلغ 5001 د.ك تعويضاً مؤقتاً عن الأضرار التي لحقت به من جراء أخطائه ، مع حفظ حقه في التعويض النهائي ، وقال شرحا لدعواه، إنه بتاريخ 2005/9/7 تأسست شركة </w:t>
      </w:r>
      <w:r w:rsidRPr="00B57D70">
        <w:rPr>
          <w:sz w:val="32"/>
          <w:szCs w:val="32"/>
          <w:lang w:bidi="ar-EG"/>
        </w:rPr>
        <w:t xml:space="preserve">...... </w:t>
      </w:r>
      <w:r w:rsidRPr="00B57D70">
        <w:rPr>
          <w:sz w:val="32"/>
          <w:szCs w:val="32"/>
          <w:rtl/>
        </w:rPr>
        <w:t>العقارية</w:t>
      </w:r>
      <w:r w:rsidRPr="00B57D70">
        <w:rPr>
          <w:sz w:val="32"/>
          <w:szCs w:val="32"/>
          <w:lang w:bidi="ar-EG"/>
        </w:rPr>
        <w:t xml:space="preserve">- ....... </w:t>
      </w:r>
      <w:r w:rsidRPr="00B57D70">
        <w:rPr>
          <w:sz w:val="32"/>
          <w:szCs w:val="32"/>
          <w:rtl/>
        </w:rPr>
        <w:t>وشركاه</w:t>
      </w:r>
      <w:r w:rsidRPr="00B57D70">
        <w:rPr>
          <w:sz w:val="32"/>
          <w:szCs w:val="32"/>
          <w:lang w:bidi="ar-EG"/>
        </w:rPr>
        <w:t xml:space="preserve">- </w:t>
      </w:r>
      <w:r w:rsidRPr="00B57D70">
        <w:rPr>
          <w:sz w:val="32"/>
          <w:szCs w:val="32"/>
          <w:rtl/>
        </w:rPr>
        <w:t xml:space="preserve">برأسمال مقداره 75000 د.ك ، وتولى المطعون ضده إداراتها، وطلب شراء </w:t>
      </w:r>
      <w:r w:rsidRPr="00B57D70">
        <w:rPr>
          <w:sz w:val="32"/>
          <w:szCs w:val="32"/>
          <w:lang w:bidi="ar-EG"/>
        </w:rPr>
        <w:t>35</w:t>
      </w:r>
      <w:r w:rsidRPr="00B57D70">
        <w:rPr>
          <w:rFonts w:ascii="Arial" w:hAnsi="Arial" w:cs="Arial"/>
          <w:sz w:val="32"/>
          <w:szCs w:val="32"/>
          <w:lang w:bidi="ar-EG"/>
        </w:rPr>
        <w:t>٪</w:t>
      </w:r>
      <w:r w:rsidRPr="00B57D70">
        <w:rPr>
          <w:sz w:val="32"/>
          <w:szCs w:val="32"/>
          <w:lang w:bidi="ar-EG"/>
        </w:rPr>
        <w:t xml:space="preserve"> </w:t>
      </w:r>
      <w:r w:rsidRPr="00B57D70">
        <w:rPr>
          <w:sz w:val="32"/>
          <w:szCs w:val="32"/>
          <w:rtl/>
        </w:rPr>
        <w:t xml:space="preserve">من حصص الشركة بمبلغ 26250 د.ك، لم يسدد كامل ثمنها، وأدار الشركة بصورة أدت إلي خسارة كامل رأسمالها وإقترض من الشركة مبلغ </w:t>
      </w:r>
      <w:r w:rsidRPr="00B57D70">
        <w:rPr>
          <w:sz w:val="32"/>
          <w:szCs w:val="32"/>
          <w:lang w:bidi="ar-EG"/>
        </w:rPr>
        <w:t xml:space="preserve">124803.480 </w:t>
      </w:r>
      <w:r w:rsidRPr="00B57D70">
        <w:rPr>
          <w:sz w:val="32"/>
          <w:szCs w:val="32"/>
          <w:rtl/>
        </w:rPr>
        <w:t xml:space="preserve">د.ك وفق الثابت بالتقرير المالي والاداري المقدم منه بتاريخ 2008/6/30 ، وإمتنع عن إمداده </w:t>
      </w:r>
      <w:r w:rsidRPr="00B57D70">
        <w:rPr>
          <w:sz w:val="32"/>
          <w:szCs w:val="32"/>
          <w:lang w:bidi="ar-EG"/>
        </w:rPr>
        <w:t xml:space="preserve">– </w:t>
      </w:r>
      <w:r w:rsidRPr="00B57D70">
        <w:rPr>
          <w:sz w:val="32"/>
          <w:szCs w:val="32"/>
          <w:rtl/>
        </w:rPr>
        <w:t>الطاعن</w:t>
      </w:r>
      <w:r w:rsidRPr="00B57D70">
        <w:rPr>
          <w:sz w:val="32"/>
          <w:szCs w:val="32"/>
          <w:lang w:bidi="ar-EG"/>
        </w:rPr>
        <w:t xml:space="preserve">- </w:t>
      </w:r>
      <w:r w:rsidRPr="00B57D70">
        <w:rPr>
          <w:sz w:val="32"/>
          <w:szCs w:val="32"/>
          <w:rtl/>
        </w:rPr>
        <w:t xml:space="preserve">بالمستندات للوقوف على حقوق وإلتزامات الشركة، ولم يستجب لعقد جمعية عمومية لمناقشة أوضاع الشركة، رغم مطالبته وإنذاره بذلك ، وإذ كانت تصرفات المطعون ضده، وأخطائه في الادارة قد ألحقت أضراراً بالشركة، ومن ثم فقد أقام الدعوى، ندبت المحكمة خبيراً، وبعد أن أودع تقريره ، حكمت بتاريخ 2011/2/1 برفض الدعوى، إستأنف الطاعن هذا الحكم بالاستئناف رقم 1065 لسنة 2011 تجارى، ندبت المحكمة لجنة من ثلاثة </w:t>
      </w:r>
      <w:r w:rsidRPr="00B57D70">
        <w:rPr>
          <w:sz w:val="32"/>
          <w:szCs w:val="32"/>
          <w:rtl/>
        </w:rPr>
        <w:lastRenderedPageBreak/>
        <w:t>خبراء، وبعد أن أودعت تقريرها، قضت بتاريخ 2013/3/25 برفض الاستئناف وتأييد الحكم المستأنف، طعن الطاعن في هذا الحكم بطريق التمييز، وأودعت النيابة مذكرة أبدت فيها الرأي برفض الطعن، وإذ عرض على هذه المحكمة في غرفة المشورة ، حددت لنظره جلسة، وفيها إلتزمت النيابة رأيها</w:t>
      </w:r>
      <w:r w:rsidRPr="00B57D70">
        <w:rPr>
          <w:sz w:val="32"/>
          <w:szCs w:val="32"/>
          <w:lang w:bidi="ar-EG"/>
        </w:rPr>
        <w:t>.</w:t>
      </w:r>
    </w:p>
    <w:p w:rsidR="00B57D70" w:rsidRPr="00B57D70" w:rsidRDefault="00B57D70" w:rsidP="00B57D70">
      <w:pPr>
        <w:rPr>
          <w:sz w:val="32"/>
          <w:szCs w:val="32"/>
          <w:lang w:bidi="ar-EG"/>
        </w:rPr>
      </w:pPr>
      <w:bookmarkStart w:id="8" w:name="Anchor186"/>
      <w:bookmarkEnd w:id="8"/>
      <w:r w:rsidRPr="00B57D70">
        <w:rPr>
          <w:sz w:val="32"/>
          <w:szCs w:val="32"/>
          <w:rtl/>
        </w:rPr>
        <w:t>وحيث إن مما ينعاه الطاعن على الحكم المطعون فيه الاخلال بحق الدفاع ، وفى بيان ذلك يقول إن الحكم المطعون فيه أيد الحكم الابتدائي فيما إنتهي إليه من رفض الدعوى إستنادا إلي خلو الأوراق من دليل على سوء إدارة المطعون ضده للشركة محل النزاع ، على الرغم أن تقرير لجنة الخبراء المنتدبة من قبل محكمة الاستئناف سجل مخالفات على المطعون ضده إبان فترة إدارته للشركة، وإنتهي إلي إسناد تدقيق أعمال الشركة ومستنداتها إلي مكتب تدقيق خارجي للوقوف على المركز المالي الصحيح للشركة، وقد تمسك بمذكرة دفاعه المقدمة بجلسة 2013/2/3 بطلب إعادة الاستئناف لإدارة الخبراء للاستعانة بأحد مكاتب التدقيق المحاسبي وفقا لما إقترحته لجنة الخبراء، إلا أن الحكم إلتفت عن هذا الطلب رغم جوهريته، وكان من شأنه أن يتغير وجه الرأي في الدعوى، وهو ما يعيب الحكم ويستوجب تمييزه</w:t>
      </w:r>
      <w:r w:rsidRPr="00B57D70">
        <w:rPr>
          <w:sz w:val="32"/>
          <w:szCs w:val="32"/>
          <w:lang w:bidi="ar-EG"/>
        </w:rPr>
        <w:t>.</w:t>
      </w:r>
    </w:p>
    <w:p w:rsidR="00B57D70" w:rsidRPr="00B57D70" w:rsidRDefault="00B57D70" w:rsidP="00B57D70">
      <w:pPr>
        <w:rPr>
          <w:sz w:val="32"/>
          <w:szCs w:val="32"/>
          <w:lang w:bidi="ar-EG"/>
        </w:rPr>
      </w:pPr>
      <w:bookmarkStart w:id="9" w:name="Anchor258"/>
      <w:bookmarkEnd w:id="9"/>
      <w:r w:rsidRPr="00B57D70">
        <w:rPr>
          <w:sz w:val="32"/>
          <w:szCs w:val="32"/>
          <w:rtl/>
        </w:rPr>
        <w:t>وحيث إن هذا النعي في محله، ذلك أن المقرر- في قضاء هذه المحكمة</w:t>
      </w:r>
      <w:r w:rsidRPr="00B57D70">
        <w:rPr>
          <w:sz w:val="32"/>
          <w:szCs w:val="32"/>
          <w:lang w:bidi="ar-EG"/>
        </w:rPr>
        <w:t xml:space="preserve">- </w:t>
      </w:r>
      <w:bookmarkStart w:id="10" w:name="TM2014_767_1"/>
      <w:bookmarkEnd w:id="10"/>
      <w:r w:rsidRPr="00B57D70">
        <w:rPr>
          <w:b/>
          <w:bCs/>
          <w:sz w:val="32"/>
          <w:szCs w:val="32"/>
          <w:rtl/>
        </w:rPr>
        <w:t>أن كل طلب أو وجه دفاع يدلي به الخصم أمام محكمة الموضوع ويطلب إليها الفصل فيه، ويكون مما يجوز أن يترتب على الفصل فيه تغيير وجه الرأي في الدعوى يجب عليها أن تجيب عليه بأسباب خاصة وإلا كان حكمها خالياً من الاسباب متعينا تمييزه،</w:t>
      </w:r>
      <w:r w:rsidRPr="00B57D70">
        <w:rPr>
          <w:sz w:val="32"/>
          <w:szCs w:val="32"/>
          <w:rtl/>
        </w:rPr>
        <w:t xml:space="preserve"> لما كان ذلك وكان الطاعن قد أقام دعواه بطلب الحكم بالزام المطعون ضده بأن يؤدي له مبلغ 5001 د.ك تعويضاً مؤقتاً عن الأضرار التي لحقت به من جراء أخطائه في إدارة الشركة، والتي تسببت في خسارتها ، وكانت محكمة الاستئناف قد ندبت لجنة من ثلاثة خبراء إنتهت في تقريرها المؤرخ 2012/6/4 إلي تعذر الجزم في مدى مسئولية المطعون ضده عن الخسائر التي لحقت بالشركة، وتعذر البت في صحة البيانات المالية المقدمة عن السنوات 2006، 2007، </w:t>
      </w:r>
      <w:r w:rsidRPr="00B57D70">
        <w:rPr>
          <w:sz w:val="32"/>
          <w:szCs w:val="32"/>
          <w:lang w:bidi="ar-EG"/>
        </w:rPr>
        <w:t>2008</w:t>
      </w:r>
      <w:r w:rsidRPr="00B57D70">
        <w:rPr>
          <w:sz w:val="32"/>
          <w:szCs w:val="32"/>
          <w:rtl/>
        </w:rPr>
        <w:t>، وإرتأت اللجنة إسناد تدقيق أعمال الشركة ومستنداتها إلي مكتب تدقيق خارجي لخروج ذلك عن أعمال الخبرة، وقد طلب الطاعن بمذكرة دفاعه ا لمقدمة بجلسة 2013/2/3 باعادة الدعوى إلي إدارة الخبراء لندب لجنة مختصة للاستعانة بأحد مكاتب التدقيق المحاسبي لفحص ما قدم من مستندات على نحو ما طلبته الخبرة في تقريرها، ولتحقيق عناصر المأمورية، إلا أن الحكم المطعون فيه إلتفت عن هذا الطلب، ولم يتناوله بأسباب خاصة، رغم أنه مما قد يتغير به وجه الرأي في الدعوى، وهو ما يعيب الحكم ويوجب تمييزه لهذا السبب دون حاجة لبحث باقي أسباب الطعن</w:t>
      </w:r>
      <w:r w:rsidRPr="00B57D70">
        <w:rPr>
          <w:sz w:val="32"/>
          <w:szCs w:val="32"/>
          <w:lang w:bidi="ar-EG"/>
        </w:rPr>
        <w:t>.</w:t>
      </w:r>
    </w:p>
    <w:p w:rsidR="00B57D70" w:rsidRPr="00B57D70" w:rsidRDefault="00B57D70" w:rsidP="00B57D70">
      <w:pPr>
        <w:rPr>
          <w:sz w:val="32"/>
          <w:szCs w:val="32"/>
          <w:lang w:bidi="ar-EG"/>
        </w:rPr>
      </w:pPr>
      <w:bookmarkStart w:id="11" w:name="Anchor369"/>
      <w:bookmarkEnd w:id="11"/>
      <w:r w:rsidRPr="00B57D70">
        <w:rPr>
          <w:sz w:val="32"/>
          <w:szCs w:val="32"/>
          <w:rtl/>
        </w:rPr>
        <w:t xml:space="preserve">وحيث أنه عن موضوع الاستئناف رقم </w:t>
      </w:r>
      <w:r w:rsidRPr="00B57D70">
        <w:rPr>
          <w:sz w:val="32"/>
          <w:szCs w:val="32"/>
          <w:lang w:bidi="ar-EG"/>
        </w:rPr>
        <w:t xml:space="preserve">1065 </w:t>
      </w:r>
      <w:r w:rsidRPr="00B57D70">
        <w:rPr>
          <w:sz w:val="32"/>
          <w:szCs w:val="32"/>
          <w:rtl/>
        </w:rPr>
        <w:t>لسنة 2011 تجارى، ولما تقدم، وكانت المحكمة ترى أنه وصولا لوجه الحق في الدعوى، إعادة المأمورية إلي إدارة الخبراء لمباشرة المأمورية المبينة بمنطوق ذلك الحكم</w:t>
      </w:r>
      <w:r w:rsidRPr="00B57D70">
        <w:rPr>
          <w:sz w:val="32"/>
          <w:szCs w:val="32"/>
          <w:lang w:bidi="ar-EG"/>
        </w:rPr>
        <w:t>.</w:t>
      </w:r>
    </w:p>
    <w:p w:rsidR="00B57D70" w:rsidRPr="00B57D70" w:rsidRDefault="00B57D70" w:rsidP="00B57D70">
      <w:pPr>
        <w:rPr>
          <w:sz w:val="32"/>
          <w:szCs w:val="32"/>
          <w:lang w:bidi="ar-EG"/>
        </w:rPr>
      </w:pPr>
      <w:bookmarkStart w:id="12" w:name="Anchor390"/>
      <w:bookmarkEnd w:id="12"/>
      <w:r w:rsidRPr="00B57D70">
        <w:rPr>
          <w:sz w:val="32"/>
          <w:szCs w:val="32"/>
          <w:rtl/>
        </w:rPr>
        <w:t xml:space="preserve">لــــذلك </w:t>
      </w:r>
    </w:p>
    <w:p w:rsidR="00B57D70" w:rsidRPr="00B57D70" w:rsidRDefault="00B57D70" w:rsidP="00B57D70">
      <w:pPr>
        <w:rPr>
          <w:sz w:val="32"/>
          <w:szCs w:val="32"/>
          <w:lang w:bidi="ar-EG"/>
        </w:rPr>
      </w:pPr>
      <w:bookmarkStart w:id="13" w:name="Anchor392"/>
      <w:bookmarkEnd w:id="13"/>
      <w:r w:rsidRPr="00B57D70">
        <w:rPr>
          <w:sz w:val="32"/>
          <w:szCs w:val="32"/>
          <w:rtl/>
        </w:rPr>
        <w:t>حـكمت المحكمة</w:t>
      </w:r>
      <w:r w:rsidRPr="00B57D70">
        <w:rPr>
          <w:sz w:val="32"/>
          <w:szCs w:val="32"/>
          <w:lang w:bidi="ar-EG"/>
        </w:rPr>
        <w:t>:</w:t>
      </w:r>
    </w:p>
    <w:p w:rsidR="00B57D70" w:rsidRPr="00B57D70" w:rsidRDefault="00B57D70" w:rsidP="00B57D70">
      <w:pPr>
        <w:rPr>
          <w:sz w:val="32"/>
          <w:szCs w:val="32"/>
          <w:lang w:bidi="ar-EG"/>
        </w:rPr>
      </w:pPr>
      <w:bookmarkStart w:id="14" w:name="Anchor394"/>
      <w:bookmarkEnd w:id="14"/>
      <w:r w:rsidRPr="00B57D70">
        <w:rPr>
          <w:sz w:val="32"/>
          <w:szCs w:val="32"/>
          <w:rtl/>
        </w:rPr>
        <w:t>أولاً</w:t>
      </w:r>
      <w:r w:rsidRPr="00B57D70">
        <w:rPr>
          <w:sz w:val="32"/>
          <w:szCs w:val="32"/>
          <w:lang w:bidi="ar-EG"/>
        </w:rPr>
        <w:t xml:space="preserve">: </w:t>
      </w:r>
      <w:r w:rsidRPr="00B57D70">
        <w:rPr>
          <w:sz w:val="32"/>
          <w:szCs w:val="32"/>
          <w:rtl/>
        </w:rPr>
        <w:t>بقبول الطعن شكلاً ، وفى الموضوع بتمييز الحكم المطعون فيه ، وألزمت المطعون ضده المصروفات ، وعشرين دينارا مقابل أتعاب المحاماة</w:t>
      </w:r>
      <w:r w:rsidRPr="00B57D70">
        <w:rPr>
          <w:sz w:val="32"/>
          <w:szCs w:val="32"/>
          <w:lang w:bidi="ar-EG"/>
        </w:rPr>
        <w:t>.</w:t>
      </w:r>
    </w:p>
    <w:p w:rsidR="00B57D70" w:rsidRPr="00B57D70" w:rsidRDefault="00B57D70" w:rsidP="00B57D70">
      <w:pPr>
        <w:rPr>
          <w:sz w:val="32"/>
          <w:szCs w:val="32"/>
          <w:lang w:bidi="ar-EG"/>
        </w:rPr>
      </w:pPr>
      <w:bookmarkStart w:id="15" w:name="Anchor407"/>
      <w:bookmarkEnd w:id="15"/>
      <w:r w:rsidRPr="00B57D70">
        <w:rPr>
          <w:sz w:val="32"/>
          <w:szCs w:val="32"/>
          <w:rtl/>
        </w:rPr>
        <w:t>ثانياً</w:t>
      </w:r>
      <w:r w:rsidRPr="00B57D70">
        <w:rPr>
          <w:sz w:val="32"/>
          <w:szCs w:val="32"/>
          <w:lang w:bidi="ar-EG"/>
        </w:rPr>
        <w:t xml:space="preserve">: </w:t>
      </w:r>
      <w:r w:rsidRPr="00B57D70">
        <w:rPr>
          <w:sz w:val="32"/>
          <w:szCs w:val="32"/>
          <w:rtl/>
        </w:rPr>
        <w:t xml:space="preserve">وقبل الفصل في موضوع الاستئناف رقم 1065 لسنة 2011 تجارى/4 ، باعادة المأمورية إلي إدارة الخبراء بوزارة العدل، لتندب بدورها اللجنة السابق ندبها أو غيرها عند الاقتضاء لمباشرة المأمورية المبينة بمنطوق الحكم التمهيدي الصادر من محكمة أول درجة بجلسة </w:t>
      </w:r>
      <w:r w:rsidRPr="00B57D70">
        <w:rPr>
          <w:sz w:val="32"/>
          <w:szCs w:val="32"/>
          <w:lang w:bidi="ar-EG"/>
        </w:rPr>
        <w:t>2009/2/24</w:t>
      </w:r>
      <w:r w:rsidRPr="00B57D70">
        <w:rPr>
          <w:sz w:val="32"/>
          <w:szCs w:val="32"/>
          <w:rtl/>
        </w:rPr>
        <w:t>، على ضوء ما ورد بصحيفة الطعن بالتمييز، وكذلك المذكرات والمستندات المقدمة إبان حجز الاستئناف للحكم، وذلك بذات الامانة وذات الصلاحيات المخولة بموجب الحكم التمهيدي سالف البيان، ولها الاستعانة بغيرها من الخبراء عند اللزوم، وحددت جلسة 2014/3/26 لحضور الخصوم أمام اللجنة، وجلسة 2014/4/23 حتى تقدم اللجنة تقريرها، وعليها تقديمه قبل الجلسة الأخيرة بوقف كاف، وأبقت الفصل في المصروفات، وعلى إدارة الكتاب إعلان الخصوم بمنطوق الحكم</w:t>
      </w:r>
      <w:r w:rsidRPr="00B57D70">
        <w:rPr>
          <w:sz w:val="32"/>
          <w:szCs w:val="32"/>
          <w:lang w:bidi="ar-EG"/>
        </w:rPr>
        <w:t>.</w:t>
      </w:r>
    </w:p>
    <w:p w:rsidR="00B57D70" w:rsidRPr="00B57D70" w:rsidRDefault="00B57D70" w:rsidP="00B57D70">
      <w:pPr>
        <w:rPr>
          <w:sz w:val="32"/>
          <w:szCs w:val="32"/>
          <w:lang w:bidi="ar-EG"/>
        </w:rPr>
      </w:pPr>
    </w:p>
    <w:p w:rsidR="00B57D70" w:rsidRPr="00B57D70" w:rsidRDefault="00B57D70" w:rsidP="00B57D70">
      <w:pPr>
        <w:rPr>
          <w:sz w:val="32"/>
          <w:szCs w:val="32"/>
          <w:lang w:bidi="ar-EG"/>
        </w:rPr>
      </w:pPr>
      <w:bookmarkStart w:id="16" w:name="Anchor473"/>
      <w:bookmarkEnd w:id="16"/>
      <w:r w:rsidRPr="00B57D70">
        <w:rPr>
          <w:sz w:val="32"/>
          <w:szCs w:val="32"/>
          <w:lang w:bidi="ar-EG"/>
        </w:rPr>
        <w:t>* * *</w:t>
      </w:r>
    </w:p>
    <w:p w:rsidR="00D32E0F" w:rsidRPr="00B57D70" w:rsidRDefault="00D32E0F">
      <w:pPr>
        <w:rPr>
          <w:rFonts w:hint="cs"/>
          <w:sz w:val="32"/>
          <w:szCs w:val="32"/>
          <w:lang w:bidi="ar-EG"/>
        </w:rPr>
      </w:pPr>
    </w:p>
    <w:sectPr w:rsidR="00D32E0F" w:rsidRPr="00B57D7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480"/>
    <w:rsid w:val="0003272B"/>
    <w:rsid w:val="002B4480"/>
    <w:rsid w:val="00B57D70"/>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7D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7D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564789">
      <w:bodyDiv w:val="1"/>
      <w:marLeft w:val="0"/>
      <w:marRight w:val="0"/>
      <w:marTop w:val="0"/>
      <w:marBottom w:val="0"/>
      <w:divBdr>
        <w:top w:val="none" w:sz="0" w:space="0" w:color="auto"/>
        <w:left w:val="none" w:sz="0" w:space="0" w:color="auto"/>
        <w:bottom w:val="none" w:sz="0" w:space="0" w:color="auto"/>
        <w:right w:val="none" w:sz="0" w:space="0" w:color="auto"/>
      </w:divBdr>
      <w:divsChild>
        <w:div w:id="1908303673">
          <w:marLeft w:val="0"/>
          <w:marRight w:val="0"/>
          <w:marTop w:val="0"/>
          <w:marBottom w:val="0"/>
          <w:divBdr>
            <w:top w:val="none" w:sz="0" w:space="0" w:color="auto"/>
            <w:left w:val="none" w:sz="0" w:space="0" w:color="auto"/>
            <w:bottom w:val="none" w:sz="0" w:space="0" w:color="auto"/>
            <w:right w:val="none" w:sz="0" w:space="0" w:color="auto"/>
          </w:divBdr>
        </w:div>
        <w:div w:id="609747667">
          <w:marLeft w:val="0"/>
          <w:marRight w:val="0"/>
          <w:marTop w:val="0"/>
          <w:marBottom w:val="0"/>
          <w:divBdr>
            <w:top w:val="none" w:sz="0" w:space="0" w:color="auto"/>
            <w:left w:val="none" w:sz="0" w:space="0" w:color="auto"/>
            <w:bottom w:val="none" w:sz="0" w:space="0" w:color="auto"/>
            <w:right w:val="none" w:sz="0" w:space="0" w:color="auto"/>
          </w:divBdr>
        </w:div>
        <w:div w:id="1530220476">
          <w:marLeft w:val="0"/>
          <w:marRight w:val="0"/>
          <w:marTop w:val="0"/>
          <w:marBottom w:val="0"/>
          <w:divBdr>
            <w:top w:val="none" w:sz="0" w:space="0" w:color="auto"/>
            <w:left w:val="none" w:sz="0" w:space="0" w:color="auto"/>
            <w:bottom w:val="none" w:sz="0" w:space="0" w:color="auto"/>
            <w:right w:val="none" w:sz="0" w:space="0" w:color="auto"/>
          </w:divBdr>
        </w:div>
        <w:div w:id="47152207">
          <w:marLeft w:val="0"/>
          <w:marRight w:val="0"/>
          <w:marTop w:val="0"/>
          <w:marBottom w:val="0"/>
          <w:divBdr>
            <w:top w:val="none" w:sz="0" w:space="0" w:color="auto"/>
            <w:left w:val="none" w:sz="0" w:space="0" w:color="auto"/>
            <w:bottom w:val="none" w:sz="0" w:space="0" w:color="auto"/>
            <w:right w:val="none" w:sz="0" w:space="0" w:color="auto"/>
          </w:divBdr>
        </w:div>
        <w:div w:id="90778289">
          <w:marLeft w:val="0"/>
          <w:marRight w:val="0"/>
          <w:marTop w:val="0"/>
          <w:marBottom w:val="0"/>
          <w:divBdr>
            <w:top w:val="none" w:sz="0" w:space="0" w:color="auto"/>
            <w:left w:val="none" w:sz="0" w:space="0" w:color="auto"/>
            <w:bottom w:val="none" w:sz="0" w:space="0" w:color="auto"/>
            <w:right w:val="none" w:sz="0" w:space="0" w:color="auto"/>
          </w:divBdr>
        </w:div>
        <w:div w:id="1852717868">
          <w:marLeft w:val="0"/>
          <w:marRight w:val="0"/>
          <w:marTop w:val="0"/>
          <w:marBottom w:val="0"/>
          <w:divBdr>
            <w:top w:val="none" w:sz="0" w:space="0" w:color="auto"/>
            <w:left w:val="none" w:sz="0" w:space="0" w:color="auto"/>
            <w:bottom w:val="none" w:sz="0" w:space="0" w:color="auto"/>
            <w:right w:val="none" w:sz="0" w:space="0" w:color="auto"/>
          </w:divBdr>
        </w:div>
        <w:div w:id="724375959">
          <w:marLeft w:val="0"/>
          <w:marRight w:val="0"/>
          <w:marTop w:val="0"/>
          <w:marBottom w:val="0"/>
          <w:divBdr>
            <w:top w:val="none" w:sz="0" w:space="0" w:color="auto"/>
            <w:left w:val="none" w:sz="0" w:space="0" w:color="auto"/>
            <w:bottom w:val="none" w:sz="0" w:space="0" w:color="auto"/>
            <w:right w:val="none" w:sz="0" w:space="0" w:color="auto"/>
          </w:divBdr>
        </w:div>
        <w:div w:id="1061706581">
          <w:marLeft w:val="0"/>
          <w:marRight w:val="0"/>
          <w:marTop w:val="0"/>
          <w:marBottom w:val="0"/>
          <w:divBdr>
            <w:top w:val="none" w:sz="0" w:space="0" w:color="auto"/>
            <w:left w:val="none" w:sz="0" w:space="0" w:color="auto"/>
            <w:bottom w:val="none" w:sz="0" w:space="0" w:color="auto"/>
            <w:right w:val="none" w:sz="0" w:space="0" w:color="auto"/>
          </w:divBdr>
        </w:div>
        <w:div w:id="2012096222">
          <w:marLeft w:val="0"/>
          <w:marRight w:val="0"/>
          <w:marTop w:val="0"/>
          <w:marBottom w:val="0"/>
          <w:divBdr>
            <w:top w:val="none" w:sz="0" w:space="0" w:color="auto"/>
            <w:left w:val="none" w:sz="0" w:space="0" w:color="auto"/>
            <w:bottom w:val="none" w:sz="0" w:space="0" w:color="auto"/>
            <w:right w:val="none" w:sz="0" w:space="0" w:color="auto"/>
          </w:divBdr>
        </w:div>
        <w:div w:id="834615215">
          <w:marLeft w:val="0"/>
          <w:marRight w:val="0"/>
          <w:marTop w:val="0"/>
          <w:marBottom w:val="0"/>
          <w:divBdr>
            <w:top w:val="none" w:sz="0" w:space="0" w:color="auto"/>
            <w:left w:val="none" w:sz="0" w:space="0" w:color="auto"/>
            <w:bottom w:val="none" w:sz="0" w:space="0" w:color="auto"/>
            <w:right w:val="none" w:sz="0" w:space="0" w:color="auto"/>
          </w:divBdr>
        </w:div>
        <w:div w:id="1214273442">
          <w:marLeft w:val="0"/>
          <w:marRight w:val="0"/>
          <w:marTop w:val="0"/>
          <w:marBottom w:val="0"/>
          <w:divBdr>
            <w:top w:val="none" w:sz="0" w:space="0" w:color="auto"/>
            <w:left w:val="none" w:sz="0" w:space="0" w:color="auto"/>
            <w:bottom w:val="none" w:sz="0" w:space="0" w:color="auto"/>
            <w:right w:val="none" w:sz="0" w:space="0" w:color="auto"/>
          </w:divBdr>
        </w:div>
        <w:div w:id="2142989577">
          <w:marLeft w:val="0"/>
          <w:marRight w:val="0"/>
          <w:marTop w:val="0"/>
          <w:marBottom w:val="0"/>
          <w:divBdr>
            <w:top w:val="none" w:sz="0" w:space="0" w:color="auto"/>
            <w:left w:val="none" w:sz="0" w:space="0" w:color="auto"/>
            <w:bottom w:val="none" w:sz="0" w:space="0" w:color="auto"/>
            <w:right w:val="none" w:sz="0" w:space="0" w:color="auto"/>
          </w:divBdr>
        </w:div>
        <w:div w:id="317000073">
          <w:marLeft w:val="0"/>
          <w:marRight w:val="0"/>
          <w:marTop w:val="0"/>
          <w:marBottom w:val="0"/>
          <w:divBdr>
            <w:top w:val="none" w:sz="0" w:space="0" w:color="auto"/>
            <w:left w:val="none" w:sz="0" w:space="0" w:color="auto"/>
            <w:bottom w:val="none" w:sz="0" w:space="0" w:color="auto"/>
            <w:right w:val="none" w:sz="0" w:space="0" w:color="auto"/>
          </w:divBdr>
        </w:div>
        <w:div w:id="1259024056">
          <w:marLeft w:val="0"/>
          <w:marRight w:val="0"/>
          <w:marTop w:val="0"/>
          <w:marBottom w:val="0"/>
          <w:divBdr>
            <w:top w:val="none" w:sz="0" w:space="0" w:color="auto"/>
            <w:left w:val="none" w:sz="0" w:space="0" w:color="auto"/>
            <w:bottom w:val="none" w:sz="0" w:space="0" w:color="auto"/>
            <w:right w:val="none" w:sz="0" w:space="0" w:color="auto"/>
          </w:divBdr>
        </w:div>
        <w:div w:id="1383479439">
          <w:marLeft w:val="0"/>
          <w:marRight w:val="0"/>
          <w:marTop w:val="0"/>
          <w:marBottom w:val="0"/>
          <w:divBdr>
            <w:top w:val="none" w:sz="0" w:space="0" w:color="auto"/>
            <w:left w:val="none" w:sz="0" w:space="0" w:color="auto"/>
            <w:bottom w:val="none" w:sz="0" w:space="0" w:color="auto"/>
            <w:right w:val="none" w:sz="0" w:space="0" w:color="auto"/>
          </w:divBdr>
        </w:div>
      </w:divsChild>
    </w:div>
    <w:div w:id="1593856546">
      <w:bodyDiv w:val="1"/>
      <w:marLeft w:val="0"/>
      <w:marRight w:val="0"/>
      <w:marTop w:val="0"/>
      <w:marBottom w:val="0"/>
      <w:divBdr>
        <w:top w:val="none" w:sz="0" w:space="0" w:color="auto"/>
        <w:left w:val="none" w:sz="0" w:space="0" w:color="auto"/>
        <w:bottom w:val="none" w:sz="0" w:space="0" w:color="auto"/>
        <w:right w:val="none" w:sz="0" w:space="0" w:color="auto"/>
      </w:divBdr>
      <w:divsChild>
        <w:div w:id="236332643">
          <w:marLeft w:val="0"/>
          <w:marRight w:val="0"/>
          <w:marTop w:val="0"/>
          <w:marBottom w:val="0"/>
          <w:divBdr>
            <w:top w:val="none" w:sz="0" w:space="0" w:color="auto"/>
            <w:left w:val="none" w:sz="0" w:space="0" w:color="auto"/>
            <w:bottom w:val="none" w:sz="0" w:space="0" w:color="auto"/>
            <w:right w:val="none" w:sz="0" w:space="0" w:color="auto"/>
          </w:divBdr>
        </w:div>
        <w:div w:id="627080105">
          <w:marLeft w:val="0"/>
          <w:marRight w:val="0"/>
          <w:marTop w:val="0"/>
          <w:marBottom w:val="0"/>
          <w:divBdr>
            <w:top w:val="none" w:sz="0" w:space="0" w:color="auto"/>
            <w:left w:val="none" w:sz="0" w:space="0" w:color="auto"/>
            <w:bottom w:val="none" w:sz="0" w:space="0" w:color="auto"/>
            <w:right w:val="none" w:sz="0" w:space="0" w:color="auto"/>
          </w:divBdr>
        </w:div>
        <w:div w:id="878935723">
          <w:marLeft w:val="0"/>
          <w:marRight w:val="0"/>
          <w:marTop w:val="0"/>
          <w:marBottom w:val="0"/>
          <w:divBdr>
            <w:top w:val="none" w:sz="0" w:space="0" w:color="auto"/>
            <w:left w:val="none" w:sz="0" w:space="0" w:color="auto"/>
            <w:bottom w:val="none" w:sz="0" w:space="0" w:color="auto"/>
            <w:right w:val="none" w:sz="0" w:space="0" w:color="auto"/>
          </w:divBdr>
        </w:div>
        <w:div w:id="562374584">
          <w:marLeft w:val="0"/>
          <w:marRight w:val="0"/>
          <w:marTop w:val="0"/>
          <w:marBottom w:val="0"/>
          <w:divBdr>
            <w:top w:val="none" w:sz="0" w:space="0" w:color="auto"/>
            <w:left w:val="none" w:sz="0" w:space="0" w:color="auto"/>
            <w:bottom w:val="none" w:sz="0" w:space="0" w:color="auto"/>
            <w:right w:val="none" w:sz="0" w:space="0" w:color="auto"/>
          </w:divBdr>
        </w:div>
        <w:div w:id="1343819515">
          <w:marLeft w:val="0"/>
          <w:marRight w:val="0"/>
          <w:marTop w:val="0"/>
          <w:marBottom w:val="0"/>
          <w:divBdr>
            <w:top w:val="none" w:sz="0" w:space="0" w:color="auto"/>
            <w:left w:val="none" w:sz="0" w:space="0" w:color="auto"/>
            <w:bottom w:val="none" w:sz="0" w:space="0" w:color="auto"/>
            <w:right w:val="none" w:sz="0" w:space="0" w:color="auto"/>
          </w:divBdr>
        </w:div>
        <w:div w:id="1326326052">
          <w:marLeft w:val="0"/>
          <w:marRight w:val="0"/>
          <w:marTop w:val="0"/>
          <w:marBottom w:val="0"/>
          <w:divBdr>
            <w:top w:val="none" w:sz="0" w:space="0" w:color="auto"/>
            <w:left w:val="none" w:sz="0" w:space="0" w:color="auto"/>
            <w:bottom w:val="none" w:sz="0" w:space="0" w:color="auto"/>
            <w:right w:val="none" w:sz="0" w:space="0" w:color="auto"/>
          </w:divBdr>
        </w:div>
        <w:div w:id="1725521962">
          <w:marLeft w:val="0"/>
          <w:marRight w:val="0"/>
          <w:marTop w:val="0"/>
          <w:marBottom w:val="0"/>
          <w:divBdr>
            <w:top w:val="none" w:sz="0" w:space="0" w:color="auto"/>
            <w:left w:val="none" w:sz="0" w:space="0" w:color="auto"/>
            <w:bottom w:val="none" w:sz="0" w:space="0" w:color="auto"/>
            <w:right w:val="none" w:sz="0" w:space="0" w:color="auto"/>
          </w:divBdr>
        </w:div>
        <w:div w:id="1213617823">
          <w:marLeft w:val="0"/>
          <w:marRight w:val="0"/>
          <w:marTop w:val="0"/>
          <w:marBottom w:val="0"/>
          <w:divBdr>
            <w:top w:val="none" w:sz="0" w:space="0" w:color="auto"/>
            <w:left w:val="none" w:sz="0" w:space="0" w:color="auto"/>
            <w:bottom w:val="none" w:sz="0" w:space="0" w:color="auto"/>
            <w:right w:val="none" w:sz="0" w:space="0" w:color="auto"/>
          </w:divBdr>
        </w:div>
        <w:div w:id="765928299">
          <w:marLeft w:val="0"/>
          <w:marRight w:val="0"/>
          <w:marTop w:val="0"/>
          <w:marBottom w:val="0"/>
          <w:divBdr>
            <w:top w:val="none" w:sz="0" w:space="0" w:color="auto"/>
            <w:left w:val="none" w:sz="0" w:space="0" w:color="auto"/>
            <w:bottom w:val="none" w:sz="0" w:space="0" w:color="auto"/>
            <w:right w:val="none" w:sz="0" w:space="0" w:color="auto"/>
          </w:divBdr>
        </w:div>
        <w:div w:id="1408111644">
          <w:marLeft w:val="0"/>
          <w:marRight w:val="0"/>
          <w:marTop w:val="0"/>
          <w:marBottom w:val="0"/>
          <w:divBdr>
            <w:top w:val="none" w:sz="0" w:space="0" w:color="auto"/>
            <w:left w:val="none" w:sz="0" w:space="0" w:color="auto"/>
            <w:bottom w:val="none" w:sz="0" w:space="0" w:color="auto"/>
            <w:right w:val="none" w:sz="0" w:space="0" w:color="auto"/>
          </w:divBdr>
        </w:div>
        <w:div w:id="1945961989">
          <w:marLeft w:val="0"/>
          <w:marRight w:val="0"/>
          <w:marTop w:val="0"/>
          <w:marBottom w:val="0"/>
          <w:divBdr>
            <w:top w:val="none" w:sz="0" w:space="0" w:color="auto"/>
            <w:left w:val="none" w:sz="0" w:space="0" w:color="auto"/>
            <w:bottom w:val="none" w:sz="0" w:space="0" w:color="auto"/>
            <w:right w:val="none" w:sz="0" w:space="0" w:color="auto"/>
          </w:divBdr>
        </w:div>
        <w:div w:id="132455230">
          <w:marLeft w:val="0"/>
          <w:marRight w:val="0"/>
          <w:marTop w:val="0"/>
          <w:marBottom w:val="0"/>
          <w:divBdr>
            <w:top w:val="none" w:sz="0" w:space="0" w:color="auto"/>
            <w:left w:val="none" w:sz="0" w:space="0" w:color="auto"/>
            <w:bottom w:val="none" w:sz="0" w:space="0" w:color="auto"/>
            <w:right w:val="none" w:sz="0" w:space="0" w:color="auto"/>
          </w:divBdr>
        </w:div>
        <w:div w:id="892348380">
          <w:marLeft w:val="0"/>
          <w:marRight w:val="0"/>
          <w:marTop w:val="0"/>
          <w:marBottom w:val="0"/>
          <w:divBdr>
            <w:top w:val="none" w:sz="0" w:space="0" w:color="auto"/>
            <w:left w:val="none" w:sz="0" w:space="0" w:color="auto"/>
            <w:bottom w:val="none" w:sz="0" w:space="0" w:color="auto"/>
            <w:right w:val="none" w:sz="0" w:space="0" w:color="auto"/>
          </w:divBdr>
        </w:div>
        <w:div w:id="682633572">
          <w:marLeft w:val="0"/>
          <w:marRight w:val="0"/>
          <w:marTop w:val="0"/>
          <w:marBottom w:val="0"/>
          <w:divBdr>
            <w:top w:val="none" w:sz="0" w:space="0" w:color="auto"/>
            <w:left w:val="none" w:sz="0" w:space="0" w:color="auto"/>
            <w:bottom w:val="none" w:sz="0" w:space="0" w:color="auto"/>
            <w:right w:val="none" w:sz="0" w:space="0" w:color="auto"/>
          </w:divBdr>
        </w:div>
        <w:div w:id="1818721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4376</Characters>
  <Application>Microsoft Office Word</Application>
  <DocSecurity>0</DocSecurity>
  <Lines>36</Lines>
  <Paragraphs>10</Paragraphs>
  <ScaleCrop>false</ScaleCrop>
  <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2020-04-26T13:17:00Z</dcterms:created>
  <dcterms:modified xsi:type="dcterms:W3CDTF">2020-04-26T13:17:00Z</dcterms:modified>
</cp:coreProperties>
</file>