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25" w:rsidRPr="001A5625" w:rsidRDefault="001A5625" w:rsidP="001A5625">
      <w:pPr>
        <w:jc w:val="center"/>
        <w:rPr>
          <w:sz w:val="32"/>
          <w:szCs w:val="32"/>
          <w:lang w:bidi="ar-EG"/>
        </w:rPr>
      </w:pPr>
      <w:bookmarkStart w:id="0" w:name="Anchor1"/>
      <w:bookmarkEnd w:id="0"/>
      <w:r w:rsidRPr="001A5625">
        <w:rPr>
          <w:sz w:val="32"/>
          <w:szCs w:val="32"/>
          <w:rtl/>
        </w:rPr>
        <w:t xml:space="preserve">الطعن </w:t>
      </w:r>
      <w:bookmarkStart w:id="1" w:name="_GoBack"/>
      <w:bookmarkEnd w:id="1"/>
      <w:r w:rsidRPr="001A5625">
        <w:rPr>
          <w:sz w:val="32"/>
          <w:szCs w:val="32"/>
          <w:rtl/>
        </w:rPr>
        <w:t xml:space="preserve">رقم </w:t>
      </w:r>
      <w:r w:rsidRPr="001A5625">
        <w:rPr>
          <w:sz w:val="32"/>
          <w:szCs w:val="32"/>
          <w:lang w:bidi="ar-EG"/>
        </w:rPr>
        <w:t>756/2013</w:t>
      </w:r>
    </w:p>
    <w:p w:rsidR="001A5625" w:rsidRPr="001A5625" w:rsidRDefault="001A5625" w:rsidP="001A5625">
      <w:pPr>
        <w:rPr>
          <w:sz w:val="32"/>
          <w:szCs w:val="32"/>
          <w:lang w:bidi="ar-EG"/>
        </w:rPr>
      </w:pPr>
      <w:bookmarkStart w:id="2" w:name="Anchor7"/>
      <w:bookmarkEnd w:id="2"/>
      <w:r w:rsidRPr="001A5625">
        <w:rPr>
          <w:sz w:val="32"/>
          <w:szCs w:val="32"/>
          <w:rtl/>
        </w:rPr>
        <w:t>هيئة المحكمة</w:t>
      </w:r>
      <w:r w:rsidRPr="001A5625">
        <w:rPr>
          <w:sz w:val="32"/>
          <w:szCs w:val="32"/>
          <w:lang w:bidi="ar-EG"/>
        </w:rPr>
        <w:t xml:space="preserve">: </w:t>
      </w:r>
      <w:r w:rsidRPr="001A5625">
        <w:rPr>
          <w:sz w:val="32"/>
          <w:szCs w:val="32"/>
          <w:rtl/>
        </w:rPr>
        <w:t>برئاسة السيد المستشار خالد المزيني وكيل المحكمة وعضوية السادة المستشارين صلاح الدين كامل وأمين طموم وأحمد أبو ضيف وعلي مرغني</w:t>
      </w:r>
    </w:p>
    <w:bookmarkStart w:id="3" w:name="Anchor28"/>
    <w:bookmarkStart w:id="4" w:name="_Toc129484264"/>
    <w:bookmarkEnd w:id="3"/>
    <w:bookmarkEnd w:id="4"/>
    <w:p w:rsidR="001A5625" w:rsidRPr="001A5625" w:rsidRDefault="001A5625" w:rsidP="001A5625">
      <w:pPr>
        <w:rPr>
          <w:sz w:val="32"/>
          <w:szCs w:val="32"/>
          <w:lang w:bidi="ar-EG"/>
        </w:rPr>
      </w:pPr>
      <w:r w:rsidRPr="001A5625">
        <w:rPr>
          <w:sz w:val="32"/>
          <w:szCs w:val="32"/>
          <w:lang w:bidi="ar-EG"/>
        </w:rPr>
        <w:fldChar w:fldCharType="begin"/>
      </w:r>
      <w:r w:rsidRPr="001A5625">
        <w:rPr>
          <w:sz w:val="32"/>
          <w:szCs w:val="32"/>
          <w:lang w:bidi="ar-EG"/>
        </w:rPr>
        <w:instrText xml:space="preserve"> HYPERLINK "http://www.law.gov.kw/KWT_CC-Ar/00_2014/00_%D8%A7%D9%84%D8%AF%D8%A7%D8%A6%D8%B1%D8%A9%20%D8%A7%D9%84%D8%AA%D8%AC%D8%A7%D8%B1%D9%8A%D8%A9/KWT-CC-Ar_2014-11-12_00756_Taan.html" \l "TM2014_756_1" </w:instrText>
      </w:r>
      <w:r w:rsidRPr="001A5625">
        <w:rPr>
          <w:sz w:val="32"/>
          <w:szCs w:val="32"/>
          <w:lang w:bidi="ar-EG"/>
        </w:rPr>
        <w:fldChar w:fldCharType="separate"/>
      </w:r>
      <w:r w:rsidRPr="001A5625">
        <w:rPr>
          <w:rStyle w:val="Hyperlink"/>
          <w:sz w:val="32"/>
          <w:szCs w:val="32"/>
          <w:lang w:bidi="ar-EG"/>
        </w:rPr>
        <w:t xml:space="preserve">1 – </w:t>
      </w:r>
      <w:r w:rsidRPr="001A5625">
        <w:rPr>
          <w:rStyle w:val="Hyperlink"/>
          <w:sz w:val="32"/>
          <w:szCs w:val="32"/>
          <w:rtl/>
        </w:rPr>
        <w:t>ان لمحكمة الموضوع سلطة تفسير العقود والمحررات والشروط المختلف عليها حسب قصد المتعاقدين شرط عدم خروجها عن المعنى الظاهر لهذه الشروط والعبارات</w:t>
      </w:r>
      <w:r w:rsidRPr="001A5625">
        <w:rPr>
          <w:sz w:val="32"/>
          <w:szCs w:val="32"/>
          <w:lang w:bidi="ar-EG"/>
        </w:rPr>
        <w:fldChar w:fldCharType="end"/>
      </w:r>
      <w:r w:rsidRPr="001A5625">
        <w:rPr>
          <w:sz w:val="32"/>
          <w:szCs w:val="32"/>
          <w:lang w:bidi="ar-EG"/>
        </w:rPr>
        <w:t xml:space="preserve"> </w:t>
      </w:r>
    </w:p>
    <w:bookmarkStart w:id="5" w:name="Anchor44"/>
    <w:bookmarkEnd w:id="5"/>
    <w:p w:rsidR="001A5625" w:rsidRPr="001A5625" w:rsidRDefault="001A5625" w:rsidP="001A5625">
      <w:pPr>
        <w:rPr>
          <w:sz w:val="32"/>
          <w:szCs w:val="32"/>
          <w:lang w:bidi="ar-EG"/>
        </w:rPr>
      </w:pPr>
      <w:r w:rsidRPr="001A5625">
        <w:rPr>
          <w:sz w:val="32"/>
          <w:szCs w:val="32"/>
          <w:lang w:bidi="ar-EG"/>
        </w:rPr>
        <w:fldChar w:fldCharType="begin"/>
      </w:r>
      <w:r w:rsidRPr="001A5625">
        <w:rPr>
          <w:sz w:val="32"/>
          <w:szCs w:val="32"/>
          <w:lang w:bidi="ar-EG"/>
        </w:rPr>
        <w:instrText xml:space="preserve"> HYPERLINK "http://www.law.gov.kw/KWT_CC-Ar/00_2014/00_%D8%A7%D9%84%D8%AF%D8%A7%D8%A6%D8%B1%D8%A9%20%D8%A7%D9%84%D8%AA%D8%AC%D8%A7%D8%B1%D9%8A%D8%A9/KWT-CC-Ar_2014-11-12_00756_Taan.html" \l "TM2014_756_2" </w:instrText>
      </w:r>
      <w:r w:rsidRPr="001A5625">
        <w:rPr>
          <w:sz w:val="32"/>
          <w:szCs w:val="32"/>
          <w:lang w:bidi="ar-EG"/>
        </w:rPr>
        <w:fldChar w:fldCharType="separate"/>
      </w:r>
      <w:r w:rsidRPr="001A5625">
        <w:rPr>
          <w:rStyle w:val="Hyperlink"/>
          <w:sz w:val="32"/>
          <w:szCs w:val="32"/>
          <w:lang w:bidi="ar-EG"/>
        </w:rPr>
        <w:t xml:space="preserve">2 – </w:t>
      </w:r>
      <w:r w:rsidRPr="001A5625">
        <w:rPr>
          <w:rStyle w:val="Hyperlink"/>
          <w:sz w:val="32"/>
          <w:szCs w:val="32"/>
          <w:rtl/>
        </w:rPr>
        <w:t>ان تقدير مبررات الفسخ وكفاية اسبابه وتحديد المتعاقد المقصِّر في تنفيذ إلتزاماته هو من الامور التي تستقل بها محكمة الموضوع شرط إستنادها الى اسباب سائغة</w:t>
      </w:r>
      <w:r w:rsidRPr="001A5625">
        <w:rPr>
          <w:rStyle w:val="Hyperlink"/>
          <w:sz w:val="32"/>
          <w:szCs w:val="32"/>
          <w:lang w:bidi="ar-EG"/>
        </w:rPr>
        <w:t>.</w:t>
      </w:r>
      <w:r w:rsidRPr="001A5625">
        <w:rPr>
          <w:sz w:val="32"/>
          <w:szCs w:val="32"/>
          <w:lang w:bidi="ar-EG"/>
        </w:rPr>
        <w:fldChar w:fldCharType="end"/>
      </w:r>
    </w:p>
    <w:bookmarkStart w:id="6" w:name="Anchor61"/>
    <w:bookmarkEnd w:id="6"/>
    <w:p w:rsidR="001A5625" w:rsidRPr="001A5625" w:rsidRDefault="001A5625" w:rsidP="001A5625">
      <w:pPr>
        <w:rPr>
          <w:sz w:val="32"/>
          <w:szCs w:val="32"/>
          <w:lang w:bidi="ar-EG"/>
        </w:rPr>
      </w:pPr>
      <w:r w:rsidRPr="001A5625">
        <w:rPr>
          <w:sz w:val="32"/>
          <w:szCs w:val="32"/>
          <w:lang w:bidi="ar-EG"/>
        </w:rPr>
        <w:fldChar w:fldCharType="begin"/>
      </w:r>
      <w:r w:rsidRPr="001A5625">
        <w:rPr>
          <w:sz w:val="32"/>
          <w:szCs w:val="32"/>
          <w:lang w:bidi="ar-EG"/>
        </w:rPr>
        <w:instrText xml:space="preserve"> HYPERLINK "http://www.law.gov.kw/KWT_CC-Ar/00_2014/00_%D8%A7%D9%84%D8%AF%D8%A7%D8%A6%D8%B1%D8%A9%20%D8%A7%D9%84%D8%AA%D8%AC%D8%A7%D8%B1%D9%8A%D8%A9/KWT-CC-Ar_2014-11-12_00756_Taan.html" \l "TM2014_756_3" </w:instrText>
      </w:r>
      <w:r w:rsidRPr="001A5625">
        <w:rPr>
          <w:sz w:val="32"/>
          <w:szCs w:val="32"/>
          <w:lang w:bidi="ar-EG"/>
        </w:rPr>
        <w:fldChar w:fldCharType="separate"/>
      </w:r>
      <w:r w:rsidRPr="001A5625">
        <w:rPr>
          <w:rStyle w:val="Hyperlink"/>
          <w:sz w:val="32"/>
          <w:szCs w:val="32"/>
          <w:lang w:bidi="ar-EG"/>
        </w:rPr>
        <w:t xml:space="preserve">3 – </w:t>
      </w:r>
      <w:r w:rsidRPr="001A5625">
        <w:rPr>
          <w:rStyle w:val="Hyperlink"/>
          <w:sz w:val="32"/>
          <w:szCs w:val="32"/>
          <w:rtl/>
        </w:rPr>
        <w:t>ان الجدل حول القضاء بفسخ عقد الإشتراك في المعرض وإعادة المتعاقدين الى حالتهم قبل التعاقد والإلزام برد مبلغ قيمة الاشتراك في المعرض هو جدل موضوعي غير جائز امام محكمة التمييز</w:t>
      </w:r>
      <w:r w:rsidRPr="001A5625">
        <w:rPr>
          <w:rStyle w:val="Hyperlink"/>
          <w:sz w:val="32"/>
          <w:szCs w:val="32"/>
          <w:lang w:bidi="ar-EG"/>
        </w:rPr>
        <w:t>.</w:t>
      </w:r>
      <w:r w:rsidRPr="001A5625">
        <w:rPr>
          <w:sz w:val="32"/>
          <w:szCs w:val="32"/>
          <w:lang w:bidi="ar-EG"/>
        </w:rPr>
        <w:fldChar w:fldCharType="end"/>
      </w:r>
      <w:r w:rsidRPr="001A5625">
        <w:rPr>
          <w:sz w:val="32"/>
          <w:szCs w:val="32"/>
          <w:lang w:bidi="ar-EG"/>
        </w:rPr>
        <w:br/>
      </w:r>
      <w:r w:rsidRPr="001A5625">
        <w:rPr>
          <w:sz w:val="32"/>
          <w:szCs w:val="32"/>
          <w:lang w:bidi="ar-EG"/>
        </w:rPr>
        <w:br/>
      </w:r>
      <w:r w:rsidRPr="001A5625">
        <w:rPr>
          <w:sz w:val="32"/>
          <w:szCs w:val="32"/>
          <w:u w:val="single"/>
          <w:rtl/>
        </w:rPr>
        <w:t>ملاحظة</w:t>
      </w:r>
      <w:r w:rsidRPr="001A5625">
        <w:rPr>
          <w:sz w:val="32"/>
          <w:szCs w:val="32"/>
          <w:u w:val="single"/>
          <w:lang w:bidi="ar-EG"/>
        </w:rPr>
        <w:t xml:space="preserve"> :</w:t>
      </w:r>
      <w:r w:rsidRPr="001A5625">
        <w:rPr>
          <w:sz w:val="32"/>
          <w:szCs w:val="32"/>
          <w:lang w:bidi="ar-EG"/>
        </w:rPr>
        <w:br/>
      </w:r>
      <w:r w:rsidRPr="001A562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A5625" w:rsidRPr="001A5625" w:rsidRDefault="001A5625" w:rsidP="001A5625">
      <w:pPr>
        <w:rPr>
          <w:sz w:val="32"/>
          <w:szCs w:val="32"/>
          <w:lang w:bidi="ar-EG"/>
        </w:rPr>
      </w:pPr>
      <w:bookmarkStart w:id="7" w:name="Anchor79"/>
      <w:bookmarkEnd w:id="7"/>
      <w:r w:rsidRPr="001A5625">
        <w:rPr>
          <w:b/>
          <w:bCs/>
          <w:sz w:val="32"/>
          <w:szCs w:val="32"/>
          <w:rtl/>
        </w:rPr>
        <w:t>المحكمـة</w:t>
      </w:r>
    </w:p>
    <w:p w:rsidR="001A5625" w:rsidRPr="001A5625" w:rsidRDefault="001A5625" w:rsidP="001A5625">
      <w:pPr>
        <w:rPr>
          <w:sz w:val="32"/>
          <w:szCs w:val="32"/>
          <w:lang w:bidi="ar-EG"/>
        </w:rPr>
      </w:pPr>
      <w:bookmarkStart w:id="8" w:name="Anchor80"/>
      <w:bookmarkEnd w:id="8"/>
      <w:r w:rsidRPr="001A5625">
        <w:rPr>
          <w:sz w:val="32"/>
          <w:szCs w:val="32"/>
          <w:rtl/>
        </w:rPr>
        <w:t>بعد الاطلاع على الأوراق ، والمداولة</w:t>
      </w:r>
      <w:r w:rsidRPr="001A5625">
        <w:rPr>
          <w:sz w:val="32"/>
          <w:szCs w:val="32"/>
          <w:lang w:bidi="ar-EG"/>
        </w:rPr>
        <w:t>.</w:t>
      </w:r>
    </w:p>
    <w:p w:rsidR="001A5625" w:rsidRPr="001A5625" w:rsidRDefault="001A5625" w:rsidP="001A5625">
      <w:pPr>
        <w:rPr>
          <w:sz w:val="32"/>
          <w:szCs w:val="32"/>
          <w:lang w:bidi="ar-EG"/>
        </w:rPr>
      </w:pPr>
      <w:bookmarkStart w:id="9" w:name="Anchor85"/>
      <w:bookmarkStart w:id="10" w:name="TM2014_756_1"/>
      <w:bookmarkEnd w:id="9"/>
      <w:bookmarkEnd w:id="10"/>
      <w:r w:rsidRPr="001A5625">
        <w:rPr>
          <w:b/>
          <w:bCs/>
          <w:sz w:val="32"/>
          <w:szCs w:val="32"/>
          <w:rtl/>
        </w:rPr>
        <w:t xml:space="preserve">لما كان المقرر أن لمحكمة الموضوع سلطة تحصيل وفهم الواقع في الدعوى وتقدير الأدلة وتفسير العقود والمحررات والشروط المختلف عليها واستنباط حقيقة الواقع فيها وما تراه أوفى بمقصود المتعاقدين متى كان تفسيرها لا خروج فيه عن المعنى الظاهر لهذه الشروط والعبارات، </w:t>
      </w:r>
      <w:r w:rsidRPr="001A5625">
        <w:rPr>
          <w:sz w:val="32"/>
          <w:szCs w:val="32"/>
          <w:rtl/>
        </w:rPr>
        <w:t xml:space="preserve">وأن </w:t>
      </w:r>
      <w:bookmarkStart w:id="11" w:name="TM2014_756_2"/>
      <w:bookmarkEnd w:id="11"/>
      <w:r w:rsidRPr="001A5625">
        <w:rPr>
          <w:b/>
          <w:bCs/>
          <w:sz w:val="32"/>
          <w:szCs w:val="32"/>
          <w:rtl/>
        </w:rPr>
        <w:t>تقدير مبررات الفسخ وكفاية أسبابه أو عدم كفايتها وتحديد الجانب المقصر أو نفي التقصير عنه وتنفيذ المتعاقد لالتزامه من الأمور الموضوعية التي تستقل بها محكمة الموضوع متى استندت إلى أسباب سائغة تكفي لحمل قضائها</w:t>
      </w:r>
      <w:r w:rsidRPr="001A5625">
        <w:rPr>
          <w:b/>
          <w:bCs/>
          <w:sz w:val="32"/>
          <w:szCs w:val="32"/>
          <w:lang w:bidi="ar-EG"/>
        </w:rPr>
        <w:t>.</w:t>
      </w:r>
      <w:r w:rsidRPr="001A5625">
        <w:rPr>
          <w:sz w:val="32"/>
          <w:szCs w:val="32"/>
          <w:lang w:bidi="ar-EG"/>
        </w:rPr>
        <w:t xml:space="preserve"> </w:t>
      </w:r>
      <w:r w:rsidRPr="001A5625">
        <w:rPr>
          <w:sz w:val="32"/>
          <w:szCs w:val="32"/>
          <w:rtl/>
        </w:rPr>
        <w:t xml:space="preserve">لما كان ذلك ، </w:t>
      </w:r>
      <w:bookmarkStart w:id="12" w:name="TM2014_756_3"/>
      <w:bookmarkEnd w:id="12"/>
      <w:r w:rsidRPr="001A5625">
        <w:rPr>
          <w:b/>
          <w:bCs/>
          <w:sz w:val="32"/>
          <w:szCs w:val="32"/>
          <w:rtl/>
        </w:rPr>
        <w:t xml:space="preserve">وكان الحكم المطعون فيه قد أقام قضاءه بإلغاء الحكم المستأنف وبفسخ عقد الإشتراك سند الدعوى المؤرخ 2011/9/6 وبإلزام الطاعنة بأن ترد للمطعون ضده بصفته المبلغ المقضي به على ما استخلصه من أوراق الدعوى وما قدم فيها من مستندات من أن بنود العقد سالف البيان وتعديله الثابت بكتاب الطاعنة المؤرخ </w:t>
      </w:r>
      <w:r w:rsidRPr="001A5625">
        <w:rPr>
          <w:b/>
          <w:bCs/>
          <w:sz w:val="32"/>
          <w:szCs w:val="32"/>
          <w:rtl/>
        </w:rPr>
        <w:lastRenderedPageBreak/>
        <w:t>2011/8/7 تثبت إخلال الطاعنة بإلتزاماتها التعاقدية إستناداً إلى قيامها بتأجيل المعرض الذي إتفقت مع المطعون ضده على الإشتراك فيه لأكثر من مرة لما قررته من تجدد الاضطرابات وتأثير ذلك على حركة الموانئ ورحلات الطيران لمدة تزيد على العام دون أن تقيم الدليل على جدية سبب هذا التأجيل وأن ذلك يتنافى مع حسن النية وشرف التعامل اللذين تطلبهما القانون في تنفيذ العقود بما يعطي الحق للمطعون ضده في طلب فسخ العقد باعتباره أنه قام بتنفيذ إلتزامه التعاقدي من سداد قيمة الإشتراك المتفق عليه بالعقد ، بما يترتب عليه إعادة المتعاقدين إلى الحالة التي كانا عليها عند إبرامه برد المبلغ المسدد من المطعون ضده ، وكان ما خلص إليه الحكم سائغاً وله أصله الثابت بالأوراق وكاف لحمل قضائه وفيه الرد الضمني المسقط لما يخالفه فإن ما تنعاه الطاعنة بأسباب الطعن والذي يدور حول المجادلة في تقدير المحكمة لمبررات الفسخ لا يعدو أن يكون جدلاً موضوعياً في السلطة التقديرية لمحكمة الموضوع تنحسر عنه رقابة محكمة التمييز ، ولا ينال من ذلك إلتفات الحكم عن طلب الطاعنة باستخراج شهادة باضطراب حركة الموانئ والطيران من الموانئ الكويتية والخطوط الجوية الكويتية طالما أنها لم تقدم الدليل على رفض أي من تلك الجهتين تسليمها لتلك المستندات أو صورة منها</w:t>
      </w:r>
      <w:r w:rsidRPr="001A5625">
        <w:rPr>
          <w:b/>
          <w:bCs/>
          <w:sz w:val="32"/>
          <w:szCs w:val="32"/>
          <w:lang w:bidi="ar-EG"/>
        </w:rPr>
        <w:t xml:space="preserve">. </w:t>
      </w:r>
      <w:r w:rsidRPr="001A5625">
        <w:rPr>
          <w:b/>
          <w:bCs/>
          <w:sz w:val="32"/>
          <w:szCs w:val="32"/>
          <w:rtl/>
        </w:rPr>
        <w:t>ويضحى النعي برمته على غير أساس وبالتالي غير مقبول عملاً بالمادتين 152، 154/5 مرافعات</w:t>
      </w:r>
      <w:r w:rsidRPr="001A5625">
        <w:rPr>
          <w:b/>
          <w:bCs/>
          <w:sz w:val="32"/>
          <w:szCs w:val="32"/>
          <w:lang w:bidi="ar-EG"/>
        </w:rPr>
        <w:t>.</w:t>
      </w:r>
    </w:p>
    <w:p w:rsidR="001A5625" w:rsidRPr="001A5625" w:rsidRDefault="001A5625" w:rsidP="001A5625">
      <w:pPr>
        <w:rPr>
          <w:sz w:val="32"/>
          <w:szCs w:val="32"/>
          <w:lang w:bidi="ar-EG"/>
        </w:rPr>
      </w:pPr>
      <w:bookmarkStart w:id="13" w:name="Anchor272"/>
      <w:bookmarkEnd w:id="13"/>
      <w:r w:rsidRPr="001A5625">
        <w:rPr>
          <w:sz w:val="32"/>
          <w:szCs w:val="32"/>
          <w:rtl/>
        </w:rPr>
        <w:t>لذلك</w:t>
      </w:r>
    </w:p>
    <w:p w:rsidR="001A5625" w:rsidRPr="001A5625" w:rsidRDefault="001A5625" w:rsidP="001A5625">
      <w:pPr>
        <w:rPr>
          <w:sz w:val="32"/>
          <w:szCs w:val="32"/>
          <w:lang w:bidi="ar-EG"/>
        </w:rPr>
      </w:pPr>
      <w:bookmarkStart w:id="14" w:name="Anchor273"/>
      <w:bookmarkEnd w:id="14"/>
      <w:r w:rsidRPr="001A5625">
        <w:rPr>
          <w:sz w:val="32"/>
          <w:szCs w:val="32"/>
          <w:rtl/>
        </w:rPr>
        <w:t xml:space="preserve">قررت المحكمة </w:t>
      </w:r>
      <w:r w:rsidRPr="001A5625">
        <w:rPr>
          <w:sz w:val="32"/>
          <w:szCs w:val="32"/>
          <w:lang w:bidi="ar-EG"/>
        </w:rPr>
        <w:t xml:space="preserve">– </w:t>
      </w:r>
      <w:r w:rsidRPr="001A5625">
        <w:rPr>
          <w:sz w:val="32"/>
          <w:szCs w:val="32"/>
          <w:rtl/>
        </w:rPr>
        <w:t>في غرفة المشورة</w:t>
      </w:r>
      <w:r w:rsidRPr="001A5625">
        <w:rPr>
          <w:sz w:val="32"/>
          <w:szCs w:val="32"/>
          <w:lang w:bidi="ar-EG"/>
        </w:rPr>
        <w:t xml:space="preserve">- </w:t>
      </w:r>
      <w:r w:rsidRPr="001A5625">
        <w:rPr>
          <w:sz w:val="32"/>
          <w:szCs w:val="32"/>
          <w:rtl/>
        </w:rPr>
        <w:t>عدم قبول الطعن وألزمت الطاعنة المصروفات وعشرين ديناراً مقابل أتعاب المحاماة مع مصادرة الكفالة</w:t>
      </w:r>
      <w:r w:rsidRPr="001A5625">
        <w:rPr>
          <w:sz w:val="32"/>
          <w:szCs w:val="32"/>
          <w:lang w:bidi="ar-EG"/>
        </w:rPr>
        <w:t>.</w:t>
      </w:r>
    </w:p>
    <w:p w:rsidR="001A5625" w:rsidRPr="001A5625" w:rsidRDefault="001A5625" w:rsidP="001A5625">
      <w:pPr>
        <w:rPr>
          <w:sz w:val="32"/>
          <w:szCs w:val="32"/>
          <w:lang w:bidi="ar-EG"/>
        </w:rPr>
      </w:pPr>
    </w:p>
    <w:p w:rsidR="001A5625" w:rsidRPr="001A5625" w:rsidRDefault="001A5625" w:rsidP="001A5625">
      <w:pPr>
        <w:rPr>
          <w:sz w:val="32"/>
          <w:szCs w:val="32"/>
          <w:lang w:bidi="ar-EG"/>
        </w:rPr>
      </w:pPr>
      <w:bookmarkStart w:id="15" w:name="Anchor288"/>
      <w:bookmarkEnd w:id="15"/>
      <w:r w:rsidRPr="001A5625">
        <w:rPr>
          <w:sz w:val="32"/>
          <w:szCs w:val="32"/>
          <w:lang w:bidi="ar-EG"/>
        </w:rPr>
        <w:t>* * *</w:t>
      </w:r>
    </w:p>
    <w:p w:rsidR="008C2BA0" w:rsidRPr="001A5625" w:rsidRDefault="008C2BA0">
      <w:pPr>
        <w:rPr>
          <w:rFonts w:hint="cs"/>
          <w:sz w:val="32"/>
          <w:szCs w:val="32"/>
          <w:lang w:bidi="ar-EG"/>
        </w:rPr>
      </w:pPr>
    </w:p>
    <w:sectPr w:rsidR="008C2BA0" w:rsidRPr="001A562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45"/>
    <w:rsid w:val="0003272B"/>
    <w:rsid w:val="00033A45"/>
    <w:rsid w:val="001A5625"/>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6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09912">
      <w:bodyDiv w:val="1"/>
      <w:marLeft w:val="0"/>
      <w:marRight w:val="0"/>
      <w:marTop w:val="0"/>
      <w:marBottom w:val="0"/>
      <w:divBdr>
        <w:top w:val="none" w:sz="0" w:space="0" w:color="auto"/>
        <w:left w:val="none" w:sz="0" w:space="0" w:color="auto"/>
        <w:bottom w:val="none" w:sz="0" w:space="0" w:color="auto"/>
        <w:right w:val="none" w:sz="0" w:space="0" w:color="auto"/>
      </w:divBdr>
      <w:divsChild>
        <w:div w:id="336539495">
          <w:marLeft w:val="0"/>
          <w:marRight w:val="0"/>
          <w:marTop w:val="0"/>
          <w:marBottom w:val="0"/>
          <w:divBdr>
            <w:top w:val="none" w:sz="0" w:space="0" w:color="auto"/>
            <w:left w:val="none" w:sz="0" w:space="0" w:color="auto"/>
            <w:bottom w:val="none" w:sz="0" w:space="0" w:color="auto"/>
            <w:right w:val="none" w:sz="0" w:space="0" w:color="auto"/>
          </w:divBdr>
        </w:div>
        <w:div w:id="415791470">
          <w:marLeft w:val="0"/>
          <w:marRight w:val="0"/>
          <w:marTop w:val="0"/>
          <w:marBottom w:val="0"/>
          <w:divBdr>
            <w:top w:val="none" w:sz="0" w:space="0" w:color="auto"/>
            <w:left w:val="none" w:sz="0" w:space="0" w:color="auto"/>
            <w:bottom w:val="none" w:sz="0" w:space="0" w:color="auto"/>
            <w:right w:val="none" w:sz="0" w:space="0" w:color="auto"/>
          </w:divBdr>
        </w:div>
        <w:div w:id="282008393">
          <w:marLeft w:val="0"/>
          <w:marRight w:val="0"/>
          <w:marTop w:val="0"/>
          <w:marBottom w:val="0"/>
          <w:divBdr>
            <w:top w:val="none" w:sz="0" w:space="0" w:color="auto"/>
            <w:left w:val="none" w:sz="0" w:space="0" w:color="auto"/>
            <w:bottom w:val="none" w:sz="0" w:space="0" w:color="auto"/>
            <w:right w:val="none" w:sz="0" w:space="0" w:color="auto"/>
          </w:divBdr>
        </w:div>
        <w:div w:id="1056196445">
          <w:marLeft w:val="0"/>
          <w:marRight w:val="0"/>
          <w:marTop w:val="0"/>
          <w:marBottom w:val="0"/>
          <w:divBdr>
            <w:top w:val="none" w:sz="0" w:space="0" w:color="auto"/>
            <w:left w:val="none" w:sz="0" w:space="0" w:color="auto"/>
            <w:bottom w:val="none" w:sz="0" w:space="0" w:color="auto"/>
            <w:right w:val="none" w:sz="0" w:space="0" w:color="auto"/>
          </w:divBdr>
        </w:div>
        <w:div w:id="1472020616">
          <w:marLeft w:val="0"/>
          <w:marRight w:val="0"/>
          <w:marTop w:val="0"/>
          <w:marBottom w:val="0"/>
          <w:divBdr>
            <w:top w:val="none" w:sz="0" w:space="0" w:color="auto"/>
            <w:left w:val="none" w:sz="0" w:space="0" w:color="auto"/>
            <w:bottom w:val="none" w:sz="0" w:space="0" w:color="auto"/>
            <w:right w:val="none" w:sz="0" w:space="0" w:color="auto"/>
          </w:divBdr>
        </w:div>
        <w:div w:id="960723058">
          <w:marLeft w:val="0"/>
          <w:marRight w:val="0"/>
          <w:marTop w:val="0"/>
          <w:marBottom w:val="0"/>
          <w:divBdr>
            <w:top w:val="none" w:sz="0" w:space="0" w:color="auto"/>
            <w:left w:val="none" w:sz="0" w:space="0" w:color="auto"/>
            <w:bottom w:val="none" w:sz="0" w:space="0" w:color="auto"/>
            <w:right w:val="none" w:sz="0" w:space="0" w:color="auto"/>
          </w:divBdr>
        </w:div>
        <w:div w:id="1376471382">
          <w:marLeft w:val="0"/>
          <w:marRight w:val="0"/>
          <w:marTop w:val="0"/>
          <w:marBottom w:val="0"/>
          <w:divBdr>
            <w:top w:val="none" w:sz="0" w:space="0" w:color="auto"/>
            <w:left w:val="none" w:sz="0" w:space="0" w:color="auto"/>
            <w:bottom w:val="none" w:sz="0" w:space="0" w:color="auto"/>
            <w:right w:val="none" w:sz="0" w:space="0" w:color="auto"/>
          </w:divBdr>
        </w:div>
        <w:div w:id="405884759">
          <w:marLeft w:val="0"/>
          <w:marRight w:val="0"/>
          <w:marTop w:val="0"/>
          <w:marBottom w:val="0"/>
          <w:divBdr>
            <w:top w:val="none" w:sz="0" w:space="0" w:color="auto"/>
            <w:left w:val="none" w:sz="0" w:space="0" w:color="auto"/>
            <w:bottom w:val="none" w:sz="0" w:space="0" w:color="auto"/>
            <w:right w:val="none" w:sz="0" w:space="0" w:color="auto"/>
          </w:divBdr>
        </w:div>
        <w:div w:id="1806073460">
          <w:marLeft w:val="0"/>
          <w:marRight w:val="0"/>
          <w:marTop w:val="0"/>
          <w:marBottom w:val="0"/>
          <w:divBdr>
            <w:top w:val="none" w:sz="0" w:space="0" w:color="auto"/>
            <w:left w:val="none" w:sz="0" w:space="0" w:color="auto"/>
            <w:bottom w:val="none" w:sz="0" w:space="0" w:color="auto"/>
            <w:right w:val="none" w:sz="0" w:space="0" w:color="auto"/>
          </w:divBdr>
        </w:div>
        <w:div w:id="1590458250">
          <w:marLeft w:val="0"/>
          <w:marRight w:val="0"/>
          <w:marTop w:val="0"/>
          <w:marBottom w:val="0"/>
          <w:divBdr>
            <w:top w:val="none" w:sz="0" w:space="0" w:color="auto"/>
            <w:left w:val="none" w:sz="0" w:space="0" w:color="auto"/>
            <w:bottom w:val="none" w:sz="0" w:space="0" w:color="auto"/>
            <w:right w:val="none" w:sz="0" w:space="0" w:color="auto"/>
          </w:divBdr>
        </w:div>
        <w:div w:id="306739740">
          <w:marLeft w:val="0"/>
          <w:marRight w:val="0"/>
          <w:marTop w:val="0"/>
          <w:marBottom w:val="0"/>
          <w:divBdr>
            <w:top w:val="none" w:sz="0" w:space="0" w:color="auto"/>
            <w:left w:val="none" w:sz="0" w:space="0" w:color="auto"/>
            <w:bottom w:val="none" w:sz="0" w:space="0" w:color="auto"/>
            <w:right w:val="none" w:sz="0" w:space="0" w:color="auto"/>
          </w:divBdr>
        </w:div>
      </w:divsChild>
    </w:div>
    <w:div w:id="645546782">
      <w:bodyDiv w:val="1"/>
      <w:marLeft w:val="0"/>
      <w:marRight w:val="0"/>
      <w:marTop w:val="0"/>
      <w:marBottom w:val="0"/>
      <w:divBdr>
        <w:top w:val="none" w:sz="0" w:space="0" w:color="auto"/>
        <w:left w:val="none" w:sz="0" w:space="0" w:color="auto"/>
        <w:bottom w:val="none" w:sz="0" w:space="0" w:color="auto"/>
        <w:right w:val="none" w:sz="0" w:space="0" w:color="auto"/>
      </w:divBdr>
      <w:divsChild>
        <w:div w:id="492256873">
          <w:marLeft w:val="0"/>
          <w:marRight w:val="0"/>
          <w:marTop w:val="0"/>
          <w:marBottom w:val="0"/>
          <w:divBdr>
            <w:top w:val="none" w:sz="0" w:space="0" w:color="auto"/>
            <w:left w:val="none" w:sz="0" w:space="0" w:color="auto"/>
            <w:bottom w:val="none" w:sz="0" w:space="0" w:color="auto"/>
            <w:right w:val="none" w:sz="0" w:space="0" w:color="auto"/>
          </w:divBdr>
        </w:div>
        <w:div w:id="1578516545">
          <w:marLeft w:val="0"/>
          <w:marRight w:val="0"/>
          <w:marTop w:val="0"/>
          <w:marBottom w:val="0"/>
          <w:divBdr>
            <w:top w:val="none" w:sz="0" w:space="0" w:color="auto"/>
            <w:left w:val="none" w:sz="0" w:space="0" w:color="auto"/>
            <w:bottom w:val="none" w:sz="0" w:space="0" w:color="auto"/>
            <w:right w:val="none" w:sz="0" w:space="0" w:color="auto"/>
          </w:divBdr>
        </w:div>
        <w:div w:id="353918309">
          <w:marLeft w:val="0"/>
          <w:marRight w:val="0"/>
          <w:marTop w:val="0"/>
          <w:marBottom w:val="0"/>
          <w:divBdr>
            <w:top w:val="none" w:sz="0" w:space="0" w:color="auto"/>
            <w:left w:val="none" w:sz="0" w:space="0" w:color="auto"/>
            <w:bottom w:val="none" w:sz="0" w:space="0" w:color="auto"/>
            <w:right w:val="none" w:sz="0" w:space="0" w:color="auto"/>
          </w:divBdr>
        </w:div>
        <w:div w:id="537545980">
          <w:marLeft w:val="0"/>
          <w:marRight w:val="0"/>
          <w:marTop w:val="0"/>
          <w:marBottom w:val="0"/>
          <w:divBdr>
            <w:top w:val="none" w:sz="0" w:space="0" w:color="auto"/>
            <w:left w:val="none" w:sz="0" w:space="0" w:color="auto"/>
            <w:bottom w:val="none" w:sz="0" w:space="0" w:color="auto"/>
            <w:right w:val="none" w:sz="0" w:space="0" w:color="auto"/>
          </w:divBdr>
        </w:div>
        <w:div w:id="1972396615">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 w:id="253246609">
          <w:marLeft w:val="0"/>
          <w:marRight w:val="0"/>
          <w:marTop w:val="0"/>
          <w:marBottom w:val="0"/>
          <w:divBdr>
            <w:top w:val="none" w:sz="0" w:space="0" w:color="auto"/>
            <w:left w:val="none" w:sz="0" w:space="0" w:color="auto"/>
            <w:bottom w:val="none" w:sz="0" w:space="0" w:color="auto"/>
            <w:right w:val="none" w:sz="0" w:space="0" w:color="auto"/>
          </w:divBdr>
        </w:div>
        <w:div w:id="724723832">
          <w:marLeft w:val="0"/>
          <w:marRight w:val="0"/>
          <w:marTop w:val="0"/>
          <w:marBottom w:val="0"/>
          <w:divBdr>
            <w:top w:val="none" w:sz="0" w:space="0" w:color="auto"/>
            <w:left w:val="none" w:sz="0" w:space="0" w:color="auto"/>
            <w:bottom w:val="none" w:sz="0" w:space="0" w:color="auto"/>
            <w:right w:val="none" w:sz="0" w:space="0" w:color="auto"/>
          </w:divBdr>
        </w:div>
        <w:div w:id="1510101608">
          <w:marLeft w:val="0"/>
          <w:marRight w:val="0"/>
          <w:marTop w:val="0"/>
          <w:marBottom w:val="0"/>
          <w:divBdr>
            <w:top w:val="none" w:sz="0" w:space="0" w:color="auto"/>
            <w:left w:val="none" w:sz="0" w:space="0" w:color="auto"/>
            <w:bottom w:val="none" w:sz="0" w:space="0" w:color="auto"/>
            <w:right w:val="none" w:sz="0" w:space="0" w:color="auto"/>
          </w:divBdr>
        </w:div>
        <w:div w:id="1945846777">
          <w:marLeft w:val="0"/>
          <w:marRight w:val="0"/>
          <w:marTop w:val="0"/>
          <w:marBottom w:val="0"/>
          <w:divBdr>
            <w:top w:val="none" w:sz="0" w:space="0" w:color="auto"/>
            <w:left w:val="none" w:sz="0" w:space="0" w:color="auto"/>
            <w:bottom w:val="none" w:sz="0" w:space="0" w:color="auto"/>
            <w:right w:val="none" w:sz="0" w:space="0" w:color="auto"/>
          </w:divBdr>
        </w:div>
        <w:div w:id="90087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2020-04-26T11:26:00Z</dcterms:created>
  <dcterms:modified xsi:type="dcterms:W3CDTF">2020-04-26T11:26:00Z</dcterms:modified>
</cp:coreProperties>
</file>