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3E" w:rsidRPr="00E73A3E" w:rsidRDefault="00E73A3E" w:rsidP="00E73A3E">
      <w:pPr>
        <w:jc w:val="center"/>
        <w:rPr>
          <w:sz w:val="32"/>
          <w:szCs w:val="32"/>
        </w:rPr>
      </w:pPr>
      <w:bookmarkStart w:id="0" w:name="Anchor1"/>
      <w:bookmarkEnd w:id="0"/>
      <w:r w:rsidRPr="00E73A3E">
        <w:rPr>
          <w:sz w:val="32"/>
          <w:szCs w:val="32"/>
          <w:rtl/>
        </w:rPr>
        <w:t>الطعن رقم 75</w:t>
      </w:r>
      <w:bookmarkStart w:id="1" w:name="_GoBack"/>
      <w:bookmarkEnd w:id="1"/>
      <w:r w:rsidRPr="00E73A3E">
        <w:rPr>
          <w:sz w:val="32"/>
          <w:szCs w:val="32"/>
          <w:rtl/>
        </w:rPr>
        <w:t>4/2013</w:t>
      </w:r>
    </w:p>
    <w:p w:rsidR="00E73A3E" w:rsidRPr="00E73A3E" w:rsidRDefault="00E73A3E" w:rsidP="00E73A3E">
      <w:pPr>
        <w:rPr>
          <w:sz w:val="32"/>
          <w:szCs w:val="32"/>
        </w:rPr>
      </w:pPr>
      <w:bookmarkStart w:id="2" w:name="Anchor6"/>
      <w:bookmarkEnd w:id="2"/>
      <w:r w:rsidRPr="00E73A3E">
        <w:rPr>
          <w:sz w:val="32"/>
          <w:szCs w:val="32"/>
          <w:rtl/>
        </w:rPr>
        <w:t>هيئة المحكمة</w:t>
      </w:r>
      <w:r w:rsidRPr="00E73A3E">
        <w:rPr>
          <w:sz w:val="32"/>
          <w:szCs w:val="32"/>
        </w:rPr>
        <w:t xml:space="preserve">: </w:t>
      </w:r>
      <w:r w:rsidRPr="00E73A3E">
        <w:rPr>
          <w:sz w:val="32"/>
          <w:szCs w:val="32"/>
          <w:rtl/>
        </w:rPr>
        <w:t>برئاسة السيد المستشار خالد المزيني وكيل المحكمة وعضوية السادة المستشارين ممـــدوح القــــزاز وصـلاح الــدين كــامل وأمين طموم وأحمد أبو ضيف</w:t>
      </w:r>
    </w:p>
    <w:bookmarkStart w:id="3" w:name="Anchor22"/>
    <w:bookmarkEnd w:id="3"/>
    <w:p w:rsidR="00E73A3E" w:rsidRPr="00E73A3E" w:rsidRDefault="00E73A3E" w:rsidP="00E73A3E">
      <w:pPr>
        <w:rPr>
          <w:sz w:val="32"/>
          <w:szCs w:val="32"/>
        </w:rPr>
      </w:pPr>
      <w:r w:rsidRPr="00E73A3E">
        <w:rPr>
          <w:sz w:val="32"/>
          <w:szCs w:val="32"/>
        </w:rPr>
        <w:fldChar w:fldCharType="begin"/>
      </w:r>
      <w:r w:rsidRPr="00E73A3E">
        <w:rPr>
          <w:sz w:val="32"/>
          <w:szCs w:val="32"/>
        </w:rPr>
        <w:instrText xml:space="preserve"> HYPERLINK "http://www.law.gov.kw/KWT_CC-Ar/00_2014/00_%D8%A7%D9%84%D8%AF%D8%A7%D8%A6%D8%B1%D8%A9%20%D8%A7%D9%84%D8%AA%D8%AC%D8%A7%D8%B1%D9%8A%D8%A9/KWT-CC-Ar_2014-06-19_00754_Taan.html" \l "TM2014_754_1" </w:instrText>
      </w:r>
      <w:r w:rsidRPr="00E73A3E">
        <w:rPr>
          <w:sz w:val="32"/>
          <w:szCs w:val="32"/>
        </w:rPr>
        <w:fldChar w:fldCharType="separate"/>
      </w:r>
      <w:r w:rsidRPr="00E73A3E">
        <w:rPr>
          <w:rStyle w:val="Hyperlink"/>
          <w:sz w:val="32"/>
          <w:szCs w:val="32"/>
        </w:rPr>
        <w:t xml:space="preserve">1- </w:t>
      </w:r>
      <w:r w:rsidRPr="00E73A3E">
        <w:rPr>
          <w:rStyle w:val="Hyperlink"/>
          <w:sz w:val="32"/>
          <w:szCs w:val="32"/>
          <w:rtl/>
        </w:rPr>
        <w:t>إن لمحكمة الموضوع سلطة إستخلاص توافر إقرار المدين بالدين واعتبار المتعاقد مقصراً في تنفيذ إلتزاماته والتعرف الى حقيقة العلاقة التي تربط طرفي الخصومة وتقدير الأدلة والأخذ بتقرير الخبير متى إطمأنت الى الأسباب المبني عليها دون معقب شرط إقامة قضائها سائغاً</w:t>
      </w:r>
      <w:r w:rsidRPr="00E73A3E">
        <w:rPr>
          <w:rStyle w:val="Hyperlink"/>
          <w:sz w:val="32"/>
          <w:szCs w:val="32"/>
        </w:rPr>
        <w:t>.</w:t>
      </w:r>
      <w:r w:rsidRPr="00E73A3E">
        <w:rPr>
          <w:sz w:val="32"/>
          <w:szCs w:val="32"/>
        </w:rPr>
        <w:fldChar w:fldCharType="end"/>
      </w:r>
    </w:p>
    <w:bookmarkStart w:id="4" w:name="Anchor51"/>
    <w:bookmarkEnd w:id="4"/>
    <w:p w:rsidR="00E73A3E" w:rsidRPr="00E73A3E" w:rsidRDefault="00E73A3E" w:rsidP="00E73A3E">
      <w:pPr>
        <w:rPr>
          <w:sz w:val="32"/>
          <w:szCs w:val="32"/>
        </w:rPr>
      </w:pPr>
      <w:r w:rsidRPr="00E73A3E">
        <w:rPr>
          <w:sz w:val="32"/>
          <w:szCs w:val="32"/>
        </w:rPr>
        <w:fldChar w:fldCharType="begin"/>
      </w:r>
      <w:r w:rsidRPr="00E73A3E">
        <w:rPr>
          <w:sz w:val="32"/>
          <w:szCs w:val="32"/>
        </w:rPr>
        <w:instrText xml:space="preserve"> HYPERLINK "http://www.law.gov.kw/KWT_CC-Ar/00_2014/00_%D8%A7%D9%84%D8%AF%D8%A7%D8%A6%D8%B1%D8%A9%20%D8%A7%D9%84%D8%AA%D8%AC%D8%A7%D8%B1%D9%8A%D8%A9/KWT-CC-Ar_2014-06-19_00754_Taan.html" \l "TM2014_754_2" </w:instrText>
      </w:r>
      <w:r w:rsidRPr="00E73A3E">
        <w:rPr>
          <w:sz w:val="32"/>
          <w:szCs w:val="32"/>
        </w:rPr>
        <w:fldChar w:fldCharType="separate"/>
      </w:r>
      <w:r w:rsidRPr="00E73A3E">
        <w:rPr>
          <w:rStyle w:val="Hyperlink"/>
          <w:sz w:val="32"/>
          <w:szCs w:val="32"/>
        </w:rPr>
        <w:t xml:space="preserve">2- </w:t>
      </w:r>
      <w:r w:rsidRPr="00E73A3E">
        <w:rPr>
          <w:rStyle w:val="Hyperlink"/>
          <w:sz w:val="32"/>
          <w:szCs w:val="32"/>
          <w:rtl/>
        </w:rPr>
        <w:t>إن لمحكمة الموضوع سلطة تفسير العقود والمستندات والشروط المختلف عليها للتعرف الى قصد المتعاقدين دون معقب شرط عدم خروجها عن المعنى الظاهر في عبارات تلك المحررات</w:t>
      </w:r>
      <w:r w:rsidRPr="00E73A3E">
        <w:rPr>
          <w:rStyle w:val="Hyperlink"/>
          <w:sz w:val="32"/>
          <w:szCs w:val="32"/>
        </w:rPr>
        <w:t>.</w:t>
      </w:r>
      <w:r w:rsidRPr="00E73A3E">
        <w:rPr>
          <w:sz w:val="32"/>
          <w:szCs w:val="32"/>
        </w:rPr>
        <w:fldChar w:fldCharType="end"/>
      </w:r>
    </w:p>
    <w:bookmarkStart w:id="5" w:name="Anchor68"/>
    <w:bookmarkEnd w:id="5"/>
    <w:p w:rsidR="00E73A3E" w:rsidRPr="00E73A3E" w:rsidRDefault="00E73A3E" w:rsidP="00E73A3E">
      <w:pPr>
        <w:rPr>
          <w:sz w:val="32"/>
          <w:szCs w:val="32"/>
        </w:rPr>
      </w:pPr>
      <w:r w:rsidRPr="00E73A3E">
        <w:rPr>
          <w:sz w:val="32"/>
          <w:szCs w:val="32"/>
        </w:rPr>
        <w:fldChar w:fldCharType="begin"/>
      </w:r>
      <w:r w:rsidRPr="00E73A3E">
        <w:rPr>
          <w:sz w:val="32"/>
          <w:szCs w:val="32"/>
        </w:rPr>
        <w:instrText xml:space="preserve"> HYPERLINK "http://www.law.gov.kw/KWT_CC-Ar/00_2014/00_%D8%A7%D9%84%D8%AF%D8%A7%D8%A6%D8%B1%D8%A9%20%D8%A7%D9%84%D8%AA%D8%AC%D8%A7%D8%B1%D9%8A%D8%A9/KWT-CC-Ar_2014-06-19_00754_Taan.html" \l "TM2014_754_3" </w:instrText>
      </w:r>
      <w:r w:rsidRPr="00E73A3E">
        <w:rPr>
          <w:sz w:val="32"/>
          <w:szCs w:val="32"/>
        </w:rPr>
        <w:fldChar w:fldCharType="separate"/>
      </w:r>
      <w:r w:rsidRPr="00E73A3E">
        <w:rPr>
          <w:rStyle w:val="Hyperlink"/>
          <w:sz w:val="32"/>
          <w:szCs w:val="32"/>
        </w:rPr>
        <w:t xml:space="preserve">3- </w:t>
      </w:r>
      <w:r w:rsidRPr="00E73A3E">
        <w:rPr>
          <w:rStyle w:val="Hyperlink"/>
          <w:sz w:val="32"/>
          <w:szCs w:val="32"/>
          <w:rtl/>
        </w:rPr>
        <w:t>إن ثبوت إقرار الشركة المدينة بدينها بموجب إقرار موثق وقيامها بتسديد الدين أثناء تداول الدعوى أمام محكمة أول درجة يؤدي الى رد دفاعها حول إعتبار المعاملة قرضاً بربا فاحش كونه دفاعاً غير جدي</w:t>
      </w:r>
      <w:r w:rsidRPr="00E73A3E">
        <w:rPr>
          <w:rStyle w:val="Hyperlink"/>
          <w:sz w:val="32"/>
          <w:szCs w:val="32"/>
        </w:rPr>
        <w:t>.</w:t>
      </w:r>
      <w:r w:rsidRPr="00E73A3E">
        <w:rPr>
          <w:sz w:val="32"/>
          <w:szCs w:val="32"/>
        </w:rPr>
        <w:fldChar w:fldCharType="end"/>
      </w:r>
      <w:r w:rsidRPr="00E73A3E">
        <w:rPr>
          <w:sz w:val="32"/>
          <w:szCs w:val="32"/>
        </w:rPr>
        <w:br/>
      </w:r>
      <w:r w:rsidRPr="00E73A3E">
        <w:rPr>
          <w:sz w:val="32"/>
          <w:szCs w:val="32"/>
        </w:rPr>
        <w:br/>
      </w:r>
      <w:r w:rsidRPr="00E73A3E">
        <w:rPr>
          <w:sz w:val="32"/>
          <w:szCs w:val="32"/>
          <w:u w:val="single"/>
          <w:rtl/>
        </w:rPr>
        <w:t>ملاحظة</w:t>
      </w:r>
      <w:r w:rsidRPr="00E73A3E">
        <w:rPr>
          <w:sz w:val="32"/>
          <w:szCs w:val="32"/>
          <w:u w:val="single"/>
        </w:rPr>
        <w:t xml:space="preserve"> :</w:t>
      </w:r>
      <w:r w:rsidRPr="00E73A3E">
        <w:rPr>
          <w:sz w:val="32"/>
          <w:szCs w:val="32"/>
        </w:rPr>
        <w:br/>
      </w:r>
      <w:r w:rsidRPr="00E73A3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E73A3E" w:rsidRPr="00E73A3E" w:rsidRDefault="00E73A3E" w:rsidP="00E73A3E">
      <w:pPr>
        <w:rPr>
          <w:sz w:val="32"/>
          <w:szCs w:val="32"/>
        </w:rPr>
      </w:pPr>
      <w:bookmarkStart w:id="6" w:name="Anchor88"/>
      <w:bookmarkEnd w:id="6"/>
      <w:r w:rsidRPr="00E73A3E">
        <w:rPr>
          <w:b/>
          <w:bCs/>
          <w:sz w:val="32"/>
          <w:szCs w:val="32"/>
          <w:rtl/>
        </w:rPr>
        <w:t>المحكمة</w:t>
      </w:r>
    </w:p>
    <w:p w:rsidR="00E73A3E" w:rsidRPr="00E73A3E" w:rsidRDefault="00E73A3E" w:rsidP="00E73A3E">
      <w:pPr>
        <w:rPr>
          <w:sz w:val="32"/>
          <w:szCs w:val="32"/>
        </w:rPr>
      </w:pPr>
      <w:bookmarkStart w:id="7" w:name="Anchor89"/>
      <w:bookmarkEnd w:id="7"/>
      <w:r w:rsidRPr="00E73A3E">
        <w:rPr>
          <w:sz w:val="32"/>
          <w:szCs w:val="32"/>
          <w:rtl/>
        </w:rPr>
        <w:t>بعد الاطلاع على الأورا، والمداولة</w:t>
      </w:r>
      <w:r w:rsidRPr="00E73A3E">
        <w:rPr>
          <w:sz w:val="32"/>
          <w:szCs w:val="32"/>
        </w:rPr>
        <w:t>.</w:t>
      </w:r>
    </w:p>
    <w:p w:rsidR="00E73A3E" w:rsidRPr="00E73A3E" w:rsidRDefault="00E73A3E" w:rsidP="00E73A3E">
      <w:pPr>
        <w:rPr>
          <w:sz w:val="32"/>
          <w:szCs w:val="32"/>
        </w:rPr>
      </w:pPr>
      <w:bookmarkStart w:id="8" w:name="Anchor93"/>
      <w:bookmarkEnd w:id="8"/>
      <w:r w:rsidRPr="00E73A3E">
        <w:rPr>
          <w:sz w:val="32"/>
          <w:szCs w:val="32"/>
          <w:rtl/>
        </w:rPr>
        <w:t xml:space="preserve">لما كان </w:t>
      </w:r>
      <w:bookmarkStart w:id="9" w:name="TM2014_754_1"/>
      <w:bookmarkEnd w:id="9"/>
      <w:r w:rsidRPr="00E73A3E">
        <w:rPr>
          <w:b/>
          <w:bCs/>
          <w:sz w:val="32"/>
          <w:szCs w:val="32"/>
          <w:rtl/>
        </w:rPr>
        <w:t xml:space="preserve">من المقرر أن لمحكمة الموضوع سلطة تحصيل وفهم الواقع في الدعوى واستخلاص توافر أو عدم توافر إقرار المدين بالدين واعتبار المتعاقد مقصراً أو غير مقصر في تنفيذ التزاماته، والتعرف على حقيقة العلاقة التي تربط طرفي الخصومة وتقدير الأدلة والمستندات المقدمة فيها والأخذ بما تطمئن اليه منها، كما أن لها الأخذ بتقرير الخبير متى أطمأنت اليه واقتنعت بالأسباب التي بنى عليها نتيجته وأنها متى استندت اليه في حكمها واتخذت منه أساسا للفصل في الدعوى فإنه يعتبر جزء من الحكم فلا تكون ملزمة من بعد بالرد استقلالا على المطاعن التي وجهت اليه لان في أخذها به محمولا على أسبابه ما يفيد أنها لم تجد في تلك المطاعن ما يستحق الرد عليه بأكثر مما تضمنه التقرير وهي غير ملزمة من بعد </w:t>
      </w:r>
      <w:r w:rsidRPr="00E73A3E">
        <w:rPr>
          <w:b/>
          <w:bCs/>
          <w:sz w:val="32"/>
          <w:szCs w:val="32"/>
          <w:rtl/>
        </w:rPr>
        <w:lastRenderedPageBreak/>
        <w:t>بإجابة طلب إعادة المأمورية إلى الخبير أو ندب خبير آخر متى وجدت في أوراق الدعوى ومستنداتها وتقرير الخبرة ما يكفى لتكوين عقيدتها فيها دون رقابة عليها في ذلك من محكمة التمييز متى أقامت قضاءها على أسباب سائغة مستمدة من الأوراق وتؤدي الى النتيجة التي أنتهت اليها وحسبها أن تبين الحقيقة التي اقتنعت بها وأن تقيم قضاءها على أسباب سائغة تؤدي الى النتيجة التي انتهت اليها</w:t>
      </w:r>
      <w:r w:rsidRPr="00E73A3E">
        <w:rPr>
          <w:b/>
          <w:bCs/>
          <w:sz w:val="32"/>
          <w:szCs w:val="32"/>
        </w:rPr>
        <w:t>.</w:t>
      </w:r>
    </w:p>
    <w:p w:rsidR="00E73A3E" w:rsidRPr="00E73A3E" w:rsidRDefault="00E73A3E" w:rsidP="00E73A3E">
      <w:pPr>
        <w:rPr>
          <w:sz w:val="32"/>
          <w:szCs w:val="32"/>
        </w:rPr>
      </w:pPr>
      <w:bookmarkStart w:id="10" w:name="Anchor195"/>
      <w:bookmarkStart w:id="11" w:name="TM2014_754_2"/>
      <w:bookmarkEnd w:id="10"/>
      <w:bookmarkEnd w:id="11"/>
      <w:r w:rsidRPr="00E73A3E">
        <w:rPr>
          <w:b/>
          <w:bCs/>
          <w:sz w:val="32"/>
          <w:szCs w:val="32"/>
          <w:rtl/>
        </w:rPr>
        <w:t xml:space="preserve">ولها أيضا السلطة في تفسير العقود والمستندات والشروط المختلف عليها بما تراه في بمقصود عاقديها ولا رقابة عليها في ذلك متى كان تفسيرها مما تحتمله عباراتها ولا خروج فيه على المعني الظاهر لها، </w:t>
      </w:r>
      <w:r w:rsidRPr="00E73A3E">
        <w:rPr>
          <w:sz w:val="32"/>
          <w:szCs w:val="32"/>
          <w:rtl/>
        </w:rPr>
        <w:t xml:space="preserve">لما كان ذلك </w:t>
      </w:r>
      <w:bookmarkStart w:id="12" w:name="TM2014_754_3"/>
      <w:bookmarkEnd w:id="12"/>
      <w:r w:rsidRPr="00E73A3E">
        <w:rPr>
          <w:b/>
          <w:bCs/>
          <w:sz w:val="32"/>
          <w:szCs w:val="32"/>
          <w:rtl/>
        </w:rPr>
        <w:t xml:space="preserve">وكان الحكم المطعون فيه المؤيد للحكم الابتدائي قد أقام قضاءه برفض دعوى الشركة الطاعنة الفرعية على ما استخلصه من أوراق الدعوى وما قدم فيها من مستندات ومن تقرير الخبرة المودع الذي اطمئن اليه وبما له من سلطة تقديرية الى ان الثابت أن الطاعنة قد حررت إقرارا موثقا بمبلغ الدين وقدرة </w:t>
      </w:r>
      <w:r w:rsidRPr="00E73A3E">
        <w:rPr>
          <w:b/>
          <w:bCs/>
          <w:sz w:val="32"/>
          <w:szCs w:val="32"/>
        </w:rPr>
        <w:t xml:space="preserve">033,699,296 </w:t>
      </w:r>
      <w:r w:rsidRPr="00E73A3E">
        <w:rPr>
          <w:b/>
          <w:bCs/>
          <w:sz w:val="32"/>
          <w:szCs w:val="32"/>
          <w:rtl/>
        </w:rPr>
        <w:t>د.ك وقامت بسداده بتاريخ 11 ديسمبر 2011 أثناء تداول الدعوى أمام محكمة أول درجة بما يقطع بإقرارها بالمديونية وصحتها ويكون دفاعها بأن المعاملة هي قرض بربا فاحش هو دفاع غير جدي إذ أن سدادها المديونية اختيارا مع قيام النزاع وبدون أي تحفظ هو بمثابة اعتراف منها بصحة تلك المديونية وعدم تضمنها معاملة قرض بربا فاحش، وكان ما خلص اليه الحكم في هذا الخصوص سائغا وله معينه الثابت في الأوراق ويكفى لحمل قضاءه</w:t>
      </w:r>
      <w:r w:rsidRPr="00E73A3E">
        <w:rPr>
          <w:b/>
          <w:bCs/>
          <w:sz w:val="32"/>
          <w:szCs w:val="32"/>
        </w:rPr>
        <w:t xml:space="preserve">. </w:t>
      </w:r>
      <w:r w:rsidRPr="00E73A3E">
        <w:rPr>
          <w:b/>
          <w:bCs/>
          <w:sz w:val="32"/>
          <w:szCs w:val="32"/>
          <w:rtl/>
        </w:rPr>
        <w:t>فيكون النعي عليه بما ورد بأسباب الطعن والذي يدور حول تعيب هذا الاستخلاص لا يعدو أن يكون جدلا موضوعيا فيما لمحكمة الموضوع من سلطة تقديرية لا يجوز اثارته أمام هذه المحكمة، ومن ثم يضحي الطعن برمته مقاما على غير الأسباب المبينة في المادة 152 من قانون المرافعات ويتعين عدم قبوله عملاً بالمادة 154/5 من ذات القانون</w:t>
      </w:r>
      <w:r w:rsidRPr="00E73A3E">
        <w:rPr>
          <w:b/>
          <w:bCs/>
          <w:sz w:val="32"/>
          <w:szCs w:val="32"/>
        </w:rPr>
        <w:t>.</w:t>
      </w:r>
    </w:p>
    <w:p w:rsidR="00E73A3E" w:rsidRPr="00E73A3E" w:rsidRDefault="00E73A3E" w:rsidP="00E73A3E">
      <w:pPr>
        <w:rPr>
          <w:sz w:val="32"/>
          <w:szCs w:val="32"/>
        </w:rPr>
      </w:pPr>
      <w:bookmarkStart w:id="13" w:name="Anchor305"/>
      <w:bookmarkEnd w:id="13"/>
      <w:r w:rsidRPr="00E73A3E">
        <w:rPr>
          <w:b/>
          <w:bCs/>
          <w:sz w:val="32"/>
          <w:szCs w:val="32"/>
          <w:rtl/>
        </w:rPr>
        <w:t>لذلك</w:t>
      </w:r>
    </w:p>
    <w:p w:rsidR="00E73A3E" w:rsidRPr="00E73A3E" w:rsidRDefault="00E73A3E" w:rsidP="00E73A3E">
      <w:pPr>
        <w:rPr>
          <w:sz w:val="32"/>
          <w:szCs w:val="32"/>
        </w:rPr>
      </w:pPr>
      <w:bookmarkStart w:id="14" w:name="Anchor306"/>
      <w:bookmarkEnd w:id="14"/>
      <w:r w:rsidRPr="00E73A3E">
        <w:rPr>
          <w:sz w:val="32"/>
          <w:szCs w:val="32"/>
          <w:rtl/>
        </w:rPr>
        <w:t xml:space="preserve">قررت المحكمة </w:t>
      </w:r>
      <w:r w:rsidRPr="00E73A3E">
        <w:rPr>
          <w:sz w:val="32"/>
          <w:szCs w:val="32"/>
        </w:rPr>
        <w:t xml:space="preserve">- </w:t>
      </w:r>
      <w:r w:rsidRPr="00E73A3E">
        <w:rPr>
          <w:sz w:val="32"/>
          <w:szCs w:val="32"/>
          <w:rtl/>
        </w:rPr>
        <w:t xml:space="preserve">في غرفة المشورة </w:t>
      </w:r>
      <w:r w:rsidRPr="00E73A3E">
        <w:rPr>
          <w:sz w:val="32"/>
          <w:szCs w:val="32"/>
        </w:rPr>
        <w:t xml:space="preserve">- </w:t>
      </w:r>
      <w:r w:rsidRPr="00E73A3E">
        <w:rPr>
          <w:sz w:val="32"/>
          <w:szCs w:val="32"/>
          <w:rtl/>
        </w:rPr>
        <w:t>بعدم قبول الطعن وألزمت الشركة الطاعنة المصروفات ومبلغ عشرين دينارا مقابل أتعاب المحاماة، مع مصادرة الكفالة</w:t>
      </w:r>
      <w:r w:rsidRPr="00E73A3E">
        <w:rPr>
          <w:sz w:val="32"/>
          <w:szCs w:val="32"/>
        </w:rPr>
        <w:t>.</w:t>
      </w:r>
    </w:p>
    <w:p w:rsidR="00E73A3E" w:rsidRPr="00E73A3E" w:rsidRDefault="00E73A3E" w:rsidP="00E73A3E">
      <w:pPr>
        <w:rPr>
          <w:sz w:val="32"/>
          <w:szCs w:val="32"/>
        </w:rPr>
      </w:pPr>
    </w:p>
    <w:p w:rsidR="00E73A3E" w:rsidRPr="00E73A3E" w:rsidRDefault="00E73A3E" w:rsidP="00E73A3E">
      <w:pPr>
        <w:rPr>
          <w:sz w:val="32"/>
          <w:szCs w:val="32"/>
        </w:rPr>
      </w:pPr>
      <w:bookmarkStart w:id="15" w:name="Anchor325"/>
      <w:bookmarkEnd w:id="15"/>
      <w:r w:rsidRPr="00E73A3E">
        <w:rPr>
          <w:sz w:val="32"/>
          <w:szCs w:val="32"/>
        </w:rPr>
        <w:t>* * *</w:t>
      </w:r>
    </w:p>
    <w:p w:rsidR="008C2BA0" w:rsidRPr="00E73A3E" w:rsidRDefault="008C2BA0">
      <w:pPr>
        <w:rPr>
          <w:sz w:val="32"/>
          <w:szCs w:val="32"/>
        </w:rPr>
      </w:pPr>
    </w:p>
    <w:sectPr w:rsidR="008C2BA0" w:rsidRPr="00E73A3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17"/>
    <w:rsid w:val="0003272B"/>
    <w:rsid w:val="008C2BA0"/>
    <w:rsid w:val="00AA1117"/>
    <w:rsid w:val="00E73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A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5351">
      <w:bodyDiv w:val="1"/>
      <w:marLeft w:val="0"/>
      <w:marRight w:val="0"/>
      <w:marTop w:val="0"/>
      <w:marBottom w:val="0"/>
      <w:divBdr>
        <w:top w:val="none" w:sz="0" w:space="0" w:color="auto"/>
        <w:left w:val="none" w:sz="0" w:space="0" w:color="auto"/>
        <w:bottom w:val="none" w:sz="0" w:space="0" w:color="auto"/>
        <w:right w:val="none" w:sz="0" w:space="0" w:color="auto"/>
      </w:divBdr>
      <w:divsChild>
        <w:div w:id="2082169504">
          <w:marLeft w:val="0"/>
          <w:marRight w:val="0"/>
          <w:marTop w:val="0"/>
          <w:marBottom w:val="0"/>
          <w:divBdr>
            <w:top w:val="none" w:sz="0" w:space="0" w:color="auto"/>
            <w:left w:val="none" w:sz="0" w:space="0" w:color="auto"/>
            <w:bottom w:val="none" w:sz="0" w:space="0" w:color="auto"/>
            <w:right w:val="none" w:sz="0" w:space="0" w:color="auto"/>
          </w:divBdr>
        </w:div>
        <w:div w:id="786243713">
          <w:marLeft w:val="0"/>
          <w:marRight w:val="0"/>
          <w:marTop w:val="0"/>
          <w:marBottom w:val="0"/>
          <w:divBdr>
            <w:top w:val="none" w:sz="0" w:space="0" w:color="auto"/>
            <w:left w:val="none" w:sz="0" w:space="0" w:color="auto"/>
            <w:bottom w:val="none" w:sz="0" w:space="0" w:color="auto"/>
            <w:right w:val="none" w:sz="0" w:space="0" w:color="auto"/>
          </w:divBdr>
        </w:div>
        <w:div w:id="2080050895">
          <w:marLeft w:val="0"/>
          <w:marRight w:val="0"/>
          <w:marTop w:val="0"/>
          <w:marBottom w:val="0"/>
          <w:divBdr>
            <w:top w:val="none" w:sz="0" w:space="0" w:color="auto"/>
            <w:left w:val="none" w:sz="0" w:space="0" w:color="auto"/>
            <w:bottom w:val="none" w:sz="0" w:space="0" w:color="auto"/>
            <w:right w:val="none" w:sz="0" w:space="0" w:color="auto"/>
          </w:divBdr>
        </w:div>
        <w:div w:id="483132000">
          <w:marLeft w:val="0"/>
          <w:marRight w:val="0"/>
          <w:marTop w:val="0"/>
          <w:marBottom w:val="0"/>
          <w:divBdr>
            <w:top w:val="none" w:sz="0" w:space="0" w:color="auto"/>
            <w:left w:val="none" w:sz="0" w:space="0" w:color="auto"/>
            <w:bottom w:val="none" w:sz="0" w:space="0" w:color="auto"/>
            <w:right w:val="none" w:sz="0" w:space="0" w:color="auto"/>
          </w:divBdr>
        </w:div>
        <w:div w:id="837889313">
          <w:marLeft w:val="0"/>
          <w:marRight w:val="0"/>
          <w:marTop w:val="0"/>
          <w:marBottom w:val="0"/>
          <w:divBdr>
            <w:top w:val="none" w:sz="0" w:space="0" w:color="auto"/>
            <w:left w:val="none" w:sz="0" w:space="0" w:color="auto"/>
            <w:bottom w:val="none" w:sz="0" w:space="0" w:color="auto"/>
            <w:right w:val="none" w:sz="0" w:space="0" w:color="auto"/>
          </w:divBdr>
        </w:div>
        <w:div w:id="1910923448">
          <w:marLeft w:val="0"/>
          <w:marRight w:val="0"/>
          <w:marTop w:val="0"/>
          <w:marBottom w:val="0"/>
          <w:divBdr>
            <w:top w:val="none" w:sz="0" w:space="0" w:color="auto"/>
            <w:left w:val="none" w:sz="0" w:space="0" w:color="auto"/>
            <w:bottom w:val="none" w:sz="0" w:space="0" w:color="auto"/>
            <w:right w:val="none" w:sz="0" w:space="0" w:color="auto"/>
          </w:divBdr>
        </w:div>
        <w:div w:id="353189654">
          <w:marLeft w:val="0"/>
          <w:marRight w:val="0"/>
          <w:marTop w:val="0"/>
          <w:marBottom w:val="0"/>
          <w:divBdr>
            <w:top w:val="none" w:sz="0" w:space="0" w:color="auto"/>
            <w:left w:val="none" w:sz="0" w:space="0" w:color="auto"/>
            <w:bottom w:val="none" w:sz="0" w:space="0" w:color="auto"/>
            <w:right w:val="none" w:sz="0" w:space="0" w:color="auto"/>
          </w:divBdr>
        </w:div>
        <w:div w:id="1310095482">
          <w:marLeft w:val="0"/>
          <w:marRight w:val="0"/>
          <w:marTop w:val="0"/>
          <w:marBottom w:val="0"/>
          <w:divBdr>
            <w:top w:val="none" w:sz="0" w:space="0" w:color="auto"/>
            <w:left w:val="none" w:sz="0" w:space="0" w:color="auto"/>
            <w:bottom w:val="none" w:sz="0" w:space="0" w:color="auto"/>
            <w:right w:val="none" w:sz="0" w:space="0" w:color="auto"/>
          </w:divBdr>
        </w:div>
        <w:div w:id="265844723">
          <w:marLeft w:val="0"/>
          <w:marRight w:val="0"/>
          <w:marTop w:val="0"/>
          <w:marBottom w:val="0"/>
          <w:divBdr>
            <w:top w:val="none" w:sz="0" w:space="0" w:color="auto"/>
            <w:left w:val="none" w:sz="0" w:space="0" w:color="auto"/>
            <w:bottom w:val="none" w:sz="0" w:space="0" w:color="auto"/>
            <w:right w:val="none" w:sz="0" w:space="0" w:color="auto"/>
          </w:divBdr>
        </w:div>
        <w:div w:id="1663193623">
          <w:marLeft w:val="0"/>
          <w:marRight w:val="0"/>
          <w:marTop w:val="0"/>
          <w:marBottom w:val="0"/>
          <w:divBdr>
            <w:top w:val="none" w:sz="0" w:space="0" w:color="auto"/>
            <w:left w:val="none" w:sz="0" w:space="0" w:color="auto"/>
            <w:bottom w:val="none" w:sz="0" w:space="0" w:color="auto"/>
            <w:right w:val="none" w:sz="0" w:space="0" w:color="auto"/>
          </w:divBdr>
        </w:div>
        <w:div w:id="1520466732">
          <w:marLeft w:val="0"/>
          <w:marRight w:val="0"/>
          <w:marTop w:val="0"/>
          <w:marBottom w:val="0"/>
          <w:divBdr>
            <w:top w:val="none" w:sz="0" w:space="0" w:color="auto"/>
            <w:left w:val="none" w:sz="0" w:space="0" w:color="auto"/>
            <w:bottom w:val="none" w:sz="0" w:space="0" w:color="auto"/>
            <w:right w:val="none" w:sz="0" w:space="0" w:color="auto"/>
          </w:divBdr>
        </w:div>
        <w:div w:id="2081247772">
          <w:marLeft w:val="0"/>
          <w:marRight w:val="0"/>
          <w:marTop w:val="0"/>
          <w:marBottom w:val="0"/>
          <w:divBdr>
            <w:top w:val="none" w:sz="0" w:space="0" w:color="auto"/>
            <w:left w:val="none" w:sz="0" w:space="0" w:color="auto"/>
            <w:bottom w:val="none" w:sz="0" w:space="0" w:color="auto"/>
            <w:right w:val="none" w:sz="0" w:space="0" w:color="auto"/>
          </w:divBdr>
        </w:div>
      </w:divsChild>
    </w:div>
    <w:div w:id="740441406">
      <w:bodyDiv w:val="1"/>
      <w:marLeft w:val="0"/>
      <w:marRight w:val="0"/>
      <w:marTop w:val="0"/>
      <w:marBottom w:val="0"/>
      <w:divBdr>
        <w:top w:val="none" w:sz="0" w:space="0" w:color="auto"/>
        <w:left w:val="none" w:sz="0" w:space="0" w:color="auto"/>
        <w:bottom w:val="none" w:sz="0" w:space="0" w:color="auto"/>
        <w:right w:val="none" w:sz="0" w:space="0" w:color="auto"/>
      </w:divBdr>
      <w:divsChild>
        <w:div w:id="892741483">
          <w:marLeft w:val="0"/>
          <w:marRight w:val="0"/>
          <w:marTop w:val="0"/>
          <w:marBottom w:val="0"/>
          <w:divBdr>
            <w:top w:val="none" w:sz="0" w:space="0" w:color="auto"/>
            <w:left w:val="none" w:sz="0" w:space="0" w:color="auto"/>
            <w:bottom w:val="none" w:sz="0" w:space="0" w:color="auto"/>
            <w:right w:val="none" w:sz="0" w:space="0" w:color="auto"/>
          </w:divBdr>
        </w:div>
        <w:div w:id="1351250748">
          <w:marLeft w:val="0"/>
          <w:marRight w:val="0"/>
          <w:marTop w:val="0"/>
          <w:marBottom w:val="0"/>
          <w:divBdr>
            <w:top w:val="none" w:sz="0" w:space="0" w:color="auto"/>
            <w:left w:val="none" w:sz="0" w:space="0" w:color="auto"/>
            <w:bottom w:val="none" w:sz="0" w:space="0" w:color="auto"/>
            <w:right w:val="none" w:sz="0" w:space="0" w:color="auto"/>
          </w:divBdr>
        </w:div>
        <w:div w:id="1690838323">
          <w:marLeft w:val="0"/>
          <w:marRight w:val="0"/>
          <w:marTop w:val="0"/>
          <w:marBottom w:val="0"/>
          <w:divBdr>
            <w:top w:val="none" w:sz="0" w:space="0" w:color="auto"/>
            <w:left w:val="none" w:sz="0" w:space="0" w:color="auto"/>
            <w:bottom w:val="none" w:sz="0" w:space="0" w:color="auto"/>
            <w:right w:val="none" w:sz="0" w:space="0" w:color="auto"/>
          </w:divBdr>
        </w:div>
        <w:div w:id="759984203">
          <w:marLeft w:val="0"/>
          <w:marRight w:val="0"/>
          <w:marTop w:val="0"/>
          <w:marBottom w:val="0"/>
          <w:divBdr>
            <w:top w:val="none" w:sz="0" w:space="0" w:color="auto"/>
            <w:left w:val="none" w:sz="0" w:space="0" w:color="auto"/>
            <w:bottom w:val="none" w:sz="0" w:space="0" w:color="auto"/>
            <w:right w:val="none" w:sz="0" w:space="0" w:color="auto"/>
          </w:divBdr>
        </w:div>
        <w:div w:id="438841182">
          <w:marLeft w:val="0"/>
          <w:marRight w:val="0"/>
          <w:marTop w:val="0"/>
          <w:marBottom w:val="0"/>
          <w:divBdr>
            <w:top w:val="none" w:sz="0" w:space="0" w:color="auto"/>
            <w:left w:val="none" w:sz="0" w:space="0" w:color="auto"/>
            <w:bottom w:val="none" w:sz="0" w:space="0" w:color="auto"/>
            <w:right w:val="none" w:sz="0" w:space="0" w:color="auto"/>
          </w:divBdr>
        </w:div>
        <w:div w:id="904268240">
          <w:marLeft w:val="0"/>
          <w:marRight w:val="0"/>
          <w:marTop w:val="0"/>
          <w:marBottom w:val="0"/>
          <w:divBdr>
            <w:top w:val="none" w:sz="0" w:space="0" w:color="auto"/>
            <w:left w:val="none" w:sz="0" w:space="0" w:color="auto"/>
            <w:bottom w:val="none" w:sz="0" w:space="0" w:color="auto"/>
            <w:right w:val="none" w:sz="0" w:space="0" w:color="auto"/>
          </w:divBdr>
        </w:div>
        <w:div w:id="2128575972">
          <w:marLeft w:val="0"/>
          <w:marRight w:val="0"/>
          <w:marTop w:val="0"/>
          <w:marBottom w:val="0"/>
          <w:divBdr>
            <w:top w:val="none" w:sz="0" w:space="0" w:color="auto"/>
            <w:left w:val="none" w:sz="0" w:space="0" w:color="auto"/>
            <w:bottom w:val="none" w:sz="0" w:space="0" w:color="auto"/>
            <w:right w:val="none" w:sz="0" w:space="0" w:color="auto"/>
          </w:divBdr>
        </w:div>
        <w:div w:id="1393187879">
          <w:marLeft w:val="0"/>
          <w:marRight w:val="0"/>
          <w:marTop w:val="0"/>
          <w:marBottom w:val="0"/>
          <w:divBdr>
            <w:top w:val="none" w:sz="0" w:space="0" w:color="auto"/>
            <w:left w:val="none" w:sz="0" w:space="0" w:color="auto"/>
            <w:bottom w:val="none" w:sz="0" w:space="0" w:color="auto"/>
            <w:right w:val="none" w:sz="0" w:space="0" w:color="auto"/>
          </w:divBdr>
        </w:div>
        <w:div w:id="1522622042">
          <w:marLeft w:val="0"/>
          <w:marRight w:val="0"/>
          <w:marTop w:val="0"/>
          <w:marBottom w:val="0"/>
          <w:divBdr>
            <w:top w:val="none" w:sz="0" w:space="0" w:color="auto"/>
            <w:left w:val="none" w:sz="0" w:space="0" w:color="auto"/>
            <w:bottom w:val="none" w:sz="0" w:space="0" w:color="auto"/>
            <w:right w:val="none" w:sz="0" w:space="0" w:color="auto"/>
          </w:divBdr>
        </w:div>
        <w:div w:id="957025543">
          <w:marLeft w:val="0"/>
          <w:marRight w:val="0"/>
          <w:marTop w:val="0"/>
          <w:marBottom w:val="0"/>
          <w:divBdr>
            <w:top w:val="none" w:sz="0" w:space="0" w:color="auto"/>
            <w:left w:val="none" w:sz="0" w:space="0" w:color="auto"/>
            <w:bottom w:val="none" w:sz="0" w:space="0" w:color="auto"/>
            <w:right w:val="none" w:sz="0" w:space="0" w:color="auto"/>
          </w:divBdr>
        </w:div>
        <w:div w:id="1332415208">
          <w:marLeft w:val="0"/>
          <w:marRight w:val="0"/>
          <w:marTop w:val="0"/>
          <w:marBottom w:val="0"/>
          <w:divBdr>
            <w:top w:val="none" w:sz="0" w:space="0" w:color="auto"/>
            <w:left w:val="none" w:sz="0" w:space="0" w:color="auto"/>
            <w:bottom w:val="none" w:sz="0" w:space="0" w:color="auto"/>
            <w:right w:val="none" w:sz="0" w:space="0" w:color="auto"/>
          </w:divBdr>
        </w:div>
        <w:div w:id="159089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2020-04-26T11:49:00Z</dcterms:created>
  <dcterms:modified xsi:type="dcterms:W3CDTF">2020-04-26T11:49:00Z</dcterms:modified>
</cp:coreProperties>
</file>