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45C" w:rsidRPr="00C5245C" w:rsidRDefault="00C5245C" w:rsidP="00C5245C">
      <w:pPr>
        <w:jc w:val="center"/>
        <w:rPr>
          <w:sz w:val="32"/>
          <w:szCs w:val="32"/>
          <w:lang w:bidi="ar-EG"/>
        </w:rPr>
      </w:pPr>
      <w:bookmarkStart w:id="0" w:name="Anchor1"/>
      <w:bookmarkEnd w:id="0"/>
      <w:r w:rsidRPr="00C5245C">
        <w:rPr>
          <w:sz w:val="32"/>
          <w:szCs w:val="32"/>
          <w:rtl/>
        </w:rPr>
        <w:t>الطعن رقم 715/201</w:t>
      </w:r>
      <w:bookmarkStart w:id="1" w:name="_GoBack"/>
      <w:bookmarkEnd w:id="1"/>
      <w:r w:rsidRPr="00C5245C">
        <w:rPr>
          <w:sz w:val="32"/>
          <w:szCs w:val="32"/>
          <w:rtl/>
        </w:rPr>
        <w:t>3</w:t>
      </w:r>
    </w:p>
    <w:p w:rsidR="00C5245C" w:rsidRPr="00C5245C" w:rsidRDefault="00C5245C" w:rsidP="00C5245C">
      <w:pPr>
        <w:rPr>
          <w:sz w:val="32"/>
          <w:szCs w:val="32"/>
          <w:lang w:bidi="ar-EG"/>
        </w:rPr>
      </w:pPr>
      <w:bookmarkStart w:id="2" w:name="Anchor6"/>
      <w:bookmarkEnd w:id="2"/>
      <w:r w:rsidRPr="00C5245C">
        <w:rPr>
          <w:sz w:val="32"/>
          <w:szCs w:val="32"/>
          <w:rtl/>
        </w:rPr>
        <w:t>هيئة المحكمة</w:t>
      </w:r>
      <w:r w:rsidRPr="00C5245C">
        <w:rPr>
          <w:sz w:val="32"/>
          <w:szCs w:val="32"/>
          <w:lang w:bidi="ar-EG"/>
        </w:rPr>
        <w:t xml:space="preserve">: </w:t>
      </w:r>
      <w:r w:rsidRPr="00C5245C">
        <w:rPr>
          <w:sz w:val="32"/>
          <w:szCs w:val="32"/>
          <w:rtl/>
        </w:rPr>
        <w:t>برئاسة السيد المستشار عبدالهادي العطار وكيل المحكمة وعضوية السادة المستشارين يحيى موميه ومحمود عطا ومحمود عبد اللطيف وناصر مشالي</w:t>
      </w:r>
    </w:p>
    <w:bookmarkStart w:id="3" w:name="Anchor21"/>
    <w:bookmarkEnd w:id="3"/>
    <w:p w:rsidR="00C5245C" w:rsidRPr="00C5245C" w:rsidRDefault="00C5245C" w:rsidP="00C5245C">
      <w:pPr>
        <w:rPr>
          <w:sz w:val="32"/>
          <w:szCs w:val="32"/>
          <w:lang w:bidi="ar-EG"/>
        </w:rPr>
      </w:pPr>
      <w:r w:rsidRPr="00C5245C">
        <w:rPr>
          <w:sz w:val="32"/>
          <w:szCs w:val="32"/>
          <w:lang w:bidi="ar-EG"/>
        </w:rPr>
        <w:fldChar w:fldCharType="begin"/>
      </w:r>
      <w:r w:rsidRPr="00C5245C">
        <w:rPr>
          <w:sz w:val="32"/>
          <w:szCs w:val="32"/>
          <w:lang w:bidi="ar-EG"/>
        </w:rPr>
        <w:instrText xml:space="preserve"> HYPERLINK "http://www.law.gov.kw/KWT_CC-Ar/00_2014/00_%D8%A7%D9%84%D8%AF%D8%A7%D8%A6%D8%B1%D8%A9%20%D8%A7%D9%84%D8%AA%D8%AC%D8%A7%D8%B1%D9%8A%D8%A9/KWT-CC-Ar_2014-06-17_00715_Taan.html" \l "TM2014_715_1" </w:instrText>
      </w:r>
      <w:r w:rsidRPr="00C5245C">
        <w:rPr>
          <w:sz w:val="32"/>
          <w:szCs w:val="32"/>
          <w:lang w:bidi="ar-EG"/>
        </w:rPr>
        <w:fldChar w:fldCharType="separate"/>
      </w:r>
      <w:r w:rsidRPr="00C5245C">
        <w:rPr>
          <w:rStyle w:val="Hyperlink"/>
          <w:sz w:val="32"/>
          <w:szCs w:val="32"/>
          <w:lang w:bidi="ar-EG"/>
        </w:rPr>
        <w:t xml:space="preserve">1- </w:t>
      </w:r>
      <w:r w:rsidRPr="00C5245C">
        <w:rPr>
          <w:rStyle w:val="Hyperlink"/>
          <w:sz w:val="32"/>
          <w:szCs w:val="32"/>
          <w:rtl/>
        </w:rPr>
        <w:t>إن حجية الأمر المقضي تؤدي الى عدم جواز إعادة طرح النزاع في المسألة الأساسية المقضي فيها نهائياً بين الخصوم في الدعوى</w:t>
      </w:r>
      <w:r w:rsidRPr="00C5245C">
        <w:rPr>
          <w:rStyle w:val="Hyperlink"/>
          <w:sz w:val="32"/>
          <w:szCs w:val="32"/>
          <w:lang w:bidi="ar-EG"/>
        </w:rPr>
        <w:t>.</w:t>
      </w:r>
      <w:r w:rsidRPr="00C5245C">
        <w:rPr>
          <w:sz w:val="32"/>
          <w:szCs w:val="32"/>
          <w:lang w:bidi="ar-EG"/>
        </w:rPr>
        <w:fldChar w:fldCharType="end"/>
      </w:r>
    </w:p>
    <w:bookmarkStart w:id="4" w:name="Anchor34"/>
    <w:bookmarkEnd w:id="4"/>
    <w:p w:rsidR="00C5245C" w:rsidRPr="00C5245C" w:rsidRDefault="00C5245C" w:rsidP="00C5245C">
      <w:pPr>
        <w:rPr>
          <w:sz w:val="32"/>
          <w:szCs w:val="32"/>
          <w:lang w:bidi="ar-EG"/>
        </w:rPr>
      </w:pPr>
      <w:r w:rsidRPr="00C5245C">
        <w:rPr>
          <w:sz w:val="32"/>
          <w:szCs w:val="32"/>
          <w:lang w:bidi="ar-EG"/>
        </w:rPr>
        <w:fldChar w:fldCharType="begin"/>
      </w:r>
      <w:r w:rsidRPr="00C5245C">
        <w:rPr>
          <w:sz w:val="32"/>
          <w:szCs w:val="32"/>
          <w:lang w:bidi="ar-EG"/>
        </w:rPr>
        <w:instrText xml:space="preserve"> HYPERLINK "http://www.law.gov.kw/KWT_CC-Ar/00_2014/00_%D8%A7%D9%84%D8%AF%D8%A7%D8%A6%D8%B1%D8%A9%20%D8%A7%D9%84%D8%AA%D8%AC%D8%A7%D8%B1%D9%8A%D8%A9/KWT-CC-Ar_2014-06-17_00715_Taan.html" \l "TM2014_715_2" </w:instrText>
      </w:r>
      <w:r w:rsidRPr="00C5245C">
        <w:rPr>
          <w:sz w:val="32"/>
          <w:szCs w:val="32"/>
          <w:lang w:bidi="ar-EG"/>
        </w:rPr>
        <w:fldChar w:fldCharType="separate"/>
      </w:r>
      <w:r w:rsidRPr="00C5245C">
        <w:rPr>
          <w:rStyle w:val="Hyperlink"/>
          <w:sz w:val="32"/>
          <w:szCs w:val="32"/>
          <w:lang w:bidi="ar-EG"/>
        </w:rPr>
        <w:t xml:space="preserve">2- </w:t>
      </w:r>
      <w:r w:rsidRPr="00C5245C">
        <w:rPr>
          <w:rStyle w:val="Hyperlink"/>
          <w:sz w:val="32"/>
          <w:szCs w:val="32"/>
          <w:rtl/>
        </w:rPr>
        <w:t>إن التحقق من توافر وحدة العناصر في الدعويين في نطاق قاعدة حجية الأمر المقضي هو من المسائل التي تستقل محكمة الموضوع بتقريرها</w:t>
      </w:r>
      <w:r w:rsidRPr="00C5245C">
        <w:rPr>
          <w:rStyle w:val="Hyperlink"/>
          <w:sz w:val="32"/>
          <w:szCs w:val="32"/>
          <w:lang w:bidi="ar-EG"/>
        </w:rPr>
        <w:t>.</w:t>
      </w:r>
      <w:r w:rsidRPr="00C5245C">
        <w:rPr>
          <w:sz w:val="32"/>
          <w:szCs w:val="32"/>
          <w:lang w:bidi="ar-EG"/>
        </w:rPr>
        <w:fldChar w:fldCharType="end"/>
      </w:r>
    </w:p>
    <w:bookmarkStart w:id="5" w:name="Anchor47"/>
    <w:bookmarkEnd w:id="5"/>
    <w:p w:rsidR="00C5245C" w:rsidRPr="00C5245C" w:rsidRDefault="00C5245C" w:rsidP="00C5245C">
      <w:pPr>
        <w:rPr>
          <w:sz w:val="32"/>
          <w:szCs w:val="32"/>
          <w:lang w:bidi="ar-EG"/>
        </w:rPr>
      </w:pPr>
      <w:r w:rsidRPr="00C5245C">
        <w:rPr>
          <w:sz w:val="32"/>
          <w:szCs w:val="32"/>
          <w:lang w:bidi="ar-EG"/>
        </w:rPr>
        <w:fldChar w:fldCharType="begin"/>
      </w:r>
      <w:r w:rsidRPr="00C5245C">
        <w:rPr>
          <w:sz w:val="32"/>
          <w:szCs w:val="32"/>
          <w:lang w:bidi="ar-EG"/>
        </w:rPr>
        <w:instrText xml:space="preserve"> HYPERLINK "http://www.law.gov.kw/KWT_CC-Ar/00_2014/00_%D8%A7%D9%84%D8%AF%D8%A7%D8%A6%D8%B1%D8%A9%20%D8%A7%D9%84%D8%AA%D8%AC%D8%A7%D8%B1%D9%8A%D8%A9/KWT-CC-Ar_2014-06-17_00715_Taan.html" \l "TM2014_715_3" </w:instrText>
      </w:r>
      <w:r w:rsidRPr="00C5245C">
        <w:rPr>
          <w:sz w:val="32"/>
          <w:szCs w:val="32"/>
          <w:lang w:bidi="ar-EG"/>
        </w:rPr>
        <w:fldChar w:fldCharType="separate"/>
      </w:r>
      <w:r w:rsidRPr="00C5245C">
        <w:rPr>
          <w:rStyle w:val="Hyperlink"/>
          <w:sz w:val="32"/>
          <w:szCs w:val="32"/>
          <w:lang w:bidi="ar-EG"/>
        </w:rPr>
        <w:t xml:space="preserve">3- </w:t>
      </w:r>
      <w:r w:rsidRPr="00C5245C">
        <w:rPr>
          <w:rStyle w:val="Hyperlink"/>
          <w:sz w:val="32"/>
          <w:szCs w:val="32"/>
          <w:rtl/>
        </w:rPr>
        <w:t>إن الجدل حول إختلاف موضوع الدعوى الماثلة عن الدعوى السابقة والطعن على الحكم في الدعوى السابقة بالتمييز لا يغيّر من حيازة هذا الحكم حجية الأمر المقضي بالنسبة للدعوى الماثلة</w:t>
      </w:r>
      <w:r w:rsidRPr="00C5245C">
        <w:rPr>
          <w:rStyle w:val="Hyperlink"/>
          <w:sz w:val="32"/>
          <w:szCs w:val="32"/>
          <w:lang w:bidi="ar-EG"/>
        </w:rPr>
        <w:t>.</w:t>
      </w:r>
      <w:r w:rsidRPr="00C5245C">
        <w:rPr>
          <w:sz w:val="32"/>
          <w:szCs w:val="32"/>
          <w:lang w:bidi="ar-EG"/>
        </w:rPr>
        <w:fldChar w:fldCharType="end"/>
      </w:r>
      <w:r w:rsidRPr="00C5245C">
        <w:rPr>
          <w:sz w:val="32"/>
          <w:szCs w:val="32"/>
          <w:lang w:bidi="ar-EG"/>
        </w:rPr>
        <w:br/>
      </w:r>
      <w:r w:rsidRPr="00C5245C">
        <w:rPr>
          <w:sz w:val="32"/>
          <w:szCs w:val="32"/>
          <w:lang w:bidi="ar-EG"/>
        </w:rPr>
        <w:br/>
      </w:r>
      <w:r w:rsidRPr="00C5245C">
        <w:rPr>
          <w:sz w:val="32"/>
          <w:szCs w:val="32"/>
          <w:u w:val="single"/>
          <w:rtl/>
        </w:rPr>
        <w:t>ملاحظة</w:t>
      </w:r>
      <w:r w:rsidRPr="00C5245C">
        <w:rPr>
          <w:sz w:val="32"/>
          <w:szCs w:val="32"/>
          <w:u w:val="single"/>
          <w:lang w:bidi="ar-EG"/>
        </w:rPr>
        <w:t xml:space="preserve"> :</w:t>
      </w:r>
      <w:r w:rsidRPr="00C5245C">
        <w:rPr>
          <w:sz w:val="32"/>
          <w:szCs w:val="32"/>
          <w:lang w:bidi="ar-EG"/>
        </w:rPr>
        <w:br/>
      </w:r>
      <w:r w:rsidRPr="00C5245C">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C5245C" w:rsidRPr="00C5245C" w:rsidRDefault="00C5245C" w:rsidP="00C5245C">
      <w:pPr>
        <w:rPr>
          <w:sz w:val="32"/>
          <w:szCs w:val="32"/>
          <w:lang w:bidi="ar-EG"/>
        </w:rPr>
      </w:pPr>
      <w:bookmarkStart w:id="6" w:name="Anchor67"/>
      <w:bookmarkEnd w:id="6"/>
      <w:r w:rsidRPr="00C5245C">
        <w:rPr>
          <w:b/>
          <w:bCs/>
          <w:sz w:val="32"/>
          <w:szCs w:val="32"/>
          <w:rtl/>
        </w:rPr>
        <w:t>المحكمة</w:t>
      </w:r>
    </w:p>
    <w:p w:rsidR="00C5245C" w:rsidRPr="00C5245C" w:rsidRDefault="00C5245C" w:rsidP="00C5245C">
      <w:pPr>
        <w:rPr>
          <w:sz w:val="32"/>
          <w:szCs w:val="32"/>
          <w:lang w:bidi="ar-EG"/>
        </w:rPr>
      </w:pPr>
      <w:bookmarkStart w:id="7" w:name="Anchor68"/>
      <w:bookmarkEnd w:id="7"/>
      <w:r w:rsidRPr="00C5245C">
        <w:rPr>
          <w:sz w:val="32"/>
          <w:szCs w:val="32"/>
          <w:rtl/>
        </w:rPr>
        <w:t>بعد الاطلاع على الأوراق والمداولة</w:t>
      </w:r>
      <w:r w:rsidRPr="00C5245C">
        <w:rPr>
          <w:sz w:val="32"/>
          <w:szCs w:val="32"/>
          <w:lang w:bidi="ar-EG"/>
        </w:rPr>
        <w:t>.</w:t>
      </w:r>
    </w:p>
    <w:p w:rsidR="00C5245C" w:rsidRPr="00C5245C" w:rsidRDefault="00C5245C" w:rsidP="00C5245C">
      <w:pPr>
        <w:rPr>
          <w:sz w:val="32"/>
          <w:szCs w:val="32"/>
          <w:lang w:bidi="ar-EG"/>
        </w:rPr>
      </w:pPr>
      <w:bookmarkStart w:id="8" w:name="Anchor72"/>
      <w:bookmarkEnd w:id="8"/>
      <w:r w:rsidRPr="00C5245C">
        <w:rPr>
          <w:sz w:val="32"/>
          <w:szCs w:val="32"/>
          <w:rtl/>
        </w:rPr>
        <w:t xml:space="preserve">لما كان </w:t>
      </w:r>
      <w:bookmarkStart w:id="9" w:name="TM2014_715_1"/>
      <w:bookmarkEnd w:id="9"/>
      <w:r w:rsidRPr="00C5245C">
        <w:rPr>
          <w:b/>
          <w:bCs/>
          <w:sz w:val="32"/>
          <w:szCs w:val="32"/>
          <w:rtl/>
        </w:rPr>
        <w:t xml:space="preserve">من المقرر </w:t>
      </w:r>
      <w:r w:rsidRPr="00C5245C">
        <w:rPr>
          <w:b/>
          <w:bCs/>
          <w:sz w:val="32"/>
          <w:szCs w:val="32"/>
          <w:lang w:bidi="ar-EG"/>
        </w:rPr>
        <w:t xml:space="preserve">- </w:t>
      </w:r>
      <w:r w:rsidRPr="00C5245C">
        <w:rPr>
          <w:b/>
          <w:bCs/>
          <w:sz w:val="32"/>
          <w:szCs w:val="32"/>
          <w:rtl/>
        </w:rPr>
        <w:t>أن المناط في حجية الأمر المقضي المانع من إعادة طرح النزاع في المسألة الأساسية المقضي فيها نهائيا أن تكون هذه المسألة أساسية لا تتغير تناضل فيها الطرفان في الدعوى الأولى وأستقرت حقيقتها بينهما بالحكم الأول استقرار جامعاً مانعاً من إعادة مناقشتها لدى الحكم الثاني وكانت هذه المسألة هي بذاتها الأساس فيما يدعيه أي من الطرفين قبل الآخر في الدعوى الأصلية من حقوق ومن ثم يكون هذا القضاء حائزاً لحجية الأمر المقضي في هذه المسألة ولا يغير من ذلك إختلاف الطلبات في الدعويين أو أن يكون الحكم السابق مطعوناً عليه بالتمييز</w:t>
      </w:r>
    </w:p>
    <w:p w:rsidR="00C5245C" w:rsidRPr="00C5245C" w:rsidRDefault="00C5245C" w:rsidP="00C5245C">
      <w:pPr>
        <w:rPr>
          <w:sz w:val="32"/>
          <w:szCs w:val="32"/>
          <w:lang w:bidi="ar-EG"/>
        </w:rPr>
      </w:pPr>
      <w:bookmarkStart w:id="10" w:name="Anchor128"/>
      <w:bookmarkStart w:id="11" w:name="TM2014_715_2"/>
      <w:bookmarkEnd w:id="10"/>
      <w:bookmarkEnd w:id="11"/>
      <w:r w:rsidRPr="00C5245C">
        <w:rPr>
          <w:b/>
          <w:bCs/>
          <w:sz w:val="32"/>
          <w:szCs w:val="32"/>
          <w:rtl/>
        </w:rPr>
        <w:t>والقول بوحدة العناصر في الدعويين هو من المسائل الموضوعية التي تستقل محكمة الموضوع بتقريرها متى أقامت قضاءها على أسباب سائغة ولها أصلها الثابت بالأوراق</w:t>
      </w:r>
      <w:r w:rsidRPr="00C5245C">
        <w:rPr>
          <w:b/>
          <w:bCs/>
          <w:sz w:val="32"/>
          <w:szCs w:val="32"/>
          <w:lang w:bidi="ar-EG"/>
        </w:rPr>
        <w:t xml:space="preserve">. </w:t>
      </w:r>
      <w:r w:rsidRPr="00C5245C">
        <w:rPr>
          <w:sz w:val="32"/>
          <w:szCs w:val="32"/>
          <w:rtl/>
        </w:rPr>
        <w:t xml:space="preserve">لما كان ذلك، وكان </w:t>
      </w:r>
      <w:bookmarkStart w:id="12" w:name="TM2014_715_3"/>
      <w:bookmarkEnd w:id="12"/>
      <w:r w:rsidRPr="00C5245C">
        <w:rPr>
          <w:b/>
          <w:bCs/>
          <w:sz w:val="32"/>
          <w:szCs w:val="32"/>
          <w:rtl/>
        </w:rPr>
        <w:t xml:space="preserve">الحكم المطعون فيه قد أقام قضاءه بتأييد الحكم المستأنف في خصوص ما إنتهى اليه من رفض دعوى الطاعن بتصفية </w:t>
      </w:r>
      <w:r w:rsidRPr="00C5245C">
        <w:rPr>
          <w:b/>
          <w:bCs/>
          <w:sz w:val="32"/>
          <w:szCs w:val="32"/>
          <w:rtl/>
        </w:rPr>
        <w:lastRenderedPageBreak/>
        <w:t>الحساب بينه وبين المطعون ضده مع سند من أن الثابت من الحكم الصادر في الاستئناف رقم 3922 لسنة 2012 تجارى والذي كان مردداً بين ذات الخصوم أنفسهم قد اعتبر أن الوكالة الصادرة من الطاعن للمطعون ضده بتاريخ 2007/12/9 والتي تحمل رقم 13649 جلد 6/2007 تعد بمثابة تقايل منه عن الحصص المملوكة له في هذه الشركة وأن هذه المسألة قد تناضل فيها الطرفان واستقرت حقيقتها</w:t>
      </w:r>
      <w:r w:rsidRPr="00C5245C">
        <w:rPr>
          <w:b/>
          <w:bCs/>
          <w:sz w:val="32"/>
          <w:szCs w:val="32"/>
          <w:lang w:bidi="ar-EG"/>
        </w:rPr>
        <w:t xml:space="preserve">..... </w:t>
      </w:r>
      <w:r w:rsidRPr="00C5245C">
        <w:rPr>
          <w:b/>
          <w:bCs/>
          <w:sz w:val="32"/>
          <w:szCs w:val="32"/>
          <w:rtl/>
        </w:rPr>
        <w:t>استقرار جامعاً مانعاً من إعادة مناقشتها مرة أخرى في الدعوى الماثلة وأن هذه المسألة هي مسألة أساسية يتوقف على ثبوتها أحقية الطاعن في طلباته في الدعوي الراهنة والتي لا تتغير باختلاف الطلبات في الدعويين، وكان ما خلص إليه الحكم سائغاً وله أصله الثابت بالأوراق ويؤدي إلى ما أنتهي اليه ومن ثم فإن من ما يثيره الطاعن بسببي النعي والذي يدور حول المجادلة في إختلاف موضوع الدعوى الماثلة عن الدعوى السابقة أو تعييب الحكم الصادر فيها وأنه مطعون عليه بالتمييز فإنه يكون على غير أساس وبالتالي فهو غير مقبول الأمر الذي تقرر معه المحكمة بعدم قبوله عملاً بالمادتين 152، 154/5 من قانون المرافعات</w:t>
      </w:r>
      <w:r w:rsidRPr="00C5245C">
        <w:rPr>
          <w:b/>
          <w:bCs/>
          <w:sz w:val="32"/>
          <w:szCs w:val="32"/>
          <w:lang w:bidi="ar-EG"/>
        </w:rPr>
        <w:t>.</w:t>
      </w:r>
    </w:p>
    <w:p w:rsidR="00C5245C" w:rsidRPr="00C5245C" w:rsidRDefault="00C5245C" w:rsidP="00C5245C">
      <w:pPr>
        <w:rPr>
          <w:sz w:val="32"/>
          <w:szCs w:val="32"/>
          <w:lang w:bidi="ar-EG"/>
        </w:rPr>
      </w:pPr>
      <w:bookmarkStart w:id="13" w:name="Anchor240"/>
      <w:bookmarkEnd w:id="13"/>
      <w:r w:rsidRPr="00C5245C">
        <w:rPr>
          <w:b/>
          <w:bCs/>
          <w:sz w:val="32"/>
          <w:szCs w:val="32"/>
          <w:rtl/>
        </w:rPr>
        <w:t>لذلك</w:t>
      </w:r>
    </w:p>
    <w:p w:rsidR="00C5245C" w:rsidRPr="00C5245C" w:rsidRDefault="00C5245C" w:rsidP="00C5245C">
      <w:pPr>
        <w:rPr>
          <w:sz w:val="32"/>
          <w:szCs w:val="32"/>
          <w:lang w:bidi="ar-EG"/>
        </w:rPr>
      </w:pPr>
      <w:bookmarkStart w:id="14" w:name="Anchor241"/>
      <w:bookmarkEnd w:id="14"/>
      <w:r w:rsidRPr="00C5245C">
        <w:rPr>
          <w:sz w:val="32"/>
          <w:szCs w:val="32"/>
          <w:rtl/>
        </w:rPr>
        <w:t xml:space="preserve">قررت المحكمة </w:t>
      </w:r>
      <w:r w:rsidRPr="00C5245C">
        <w:rPr>
          <w:sz w:val="32"/>
          <w:szCs w:val="32"/>
          <w:lang w:bidi="ar-EG"/>
        </w:rPr>
        <w:t xml:space="preserve">- </w:t>
      </w:r>
      <w:r w:rsidRPr="00C5245C">
        <w:rPr>
          <w:sz w:val="32"/>
          <w:szCs w:val="32"/>
          <w:rtl/>
        </w:rPr>
        <w:t>في غرفة المشورة</w:t>
      </w:r>
      <w:r w:rsidRPr="00C5245C">
        <w:rPr>
          <w:sz w:val="32"/>
          <w:szCs w:val="32"/>
          <w:lang w:bidi="ar-EG"/>
        </w:rPr>
        <w:t xml:space="preserve">- </w:t>
      </w:r>
      <w:r w:rsidRPr="00C5245C">
        <w:rPr>
          <w:sz w:val="32"/>
          <w:szCs w:val="32"/>
          <w:rtl/>
        </w:rPr>
        <w:t>عدم قبول الطعن وألزمت الطاعن المصروفات ومبلغ عشرين دينارا مقابل أتعاب المحاماة مع مصادرة الكفالة</w:t>
      </w:r>
      <w:r w:rsidRPr="00C5245C">
        <w:rPr>
          <w:sz w:val="32"/>
          <w:szCs w:val="32"/>
          <w:lang w:bidi="ar-EG"/>
        </w:rPr>
        <w:t>.</w:t>
      </w:r>
    </w:p>
    <w:p w:rsidR="00C5245C" w:rsidRPr="00C5245C" w:rsidRDefault="00C5245C" w:rsidP="00C5245C">
      <w:pPr>
        <w:rPr>
          <w:sz w:val="32"/>
          <w:szCs w:val="32"/>
          <w:lang w:bidi="ar-EG"/>
        </w:rPr>
      </w:pPr>
    </w:p>
    <w:p w:rsidR="00C5245C" w:rsidRPr="00C5245C" w:rsidRDefault="00C5245C" w:rsidP="00C5245C">
      <w:pPr>
        <w:rPr>
          <w:sz w:val="32"/>
          <w:szCs w:val="32"/>
          <w:lang w:bidi="ar-EG"/>
        </w:rPr>
      </w:pPr>
      <w:bookmarkStart w:id="15" w:name="Anchor255"/>
      <w:bookmarkEnd w:id="15"/>
      <w:r w:rsidRPr="00C5245C">
        <w:rPr>
          <w:sz w:val="32"/>
          <w:szCs w:val="32"/>
          <w:lang w:bidi="ar-EG"/>
        </w:rPr>
        <w:t>* * *</w:t>
      </w:r>
    </w:p>
    <w:p w:rsidR="008C2BA0" w:rsidRPr="00C5245C" w:rsidRDefault="008C2BA0">
      <w:pPr>
        <w:rPr>
          <w:rFonts w:hint="cs"/>
          <w:sz w:val="32"/>
          <w:szCs w:val="32"/>
          <w:lang w:bidi="ar-EG"/>
        </w:rPr>
      </w:pPr>
    </w:p>
    <w:sectPr w:rsidR="008C2BA0" w:rsidRPr="00C5245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E5"/>
    <w:rsid w:val="0003272B"/>
    <w:rsid w:val="008C2BA0"/>
    <w:rsid w:val="009147E5"/>
    <w:rsid w:val="00C52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4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4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32958">
      <w:bodyDiv w:val="1"/>
      <w:marLeft w:val="0"/>
      <w:marRight w:val="0"/>
      <w:marTop w:val="0"/>
      <w:marBottom w:val="0"/>
      <w:divBdr>
        <w:top w:val="none" w:sz="0" w:space="0" w:color="auto"/>
        <w:left w:val="none" w:sz="0" w:space="0" w:color="auto"/>
        <w:bottom w:val="none" w:sz="0" w:space="0" w:color="auto"/>
        <w:right w:val="none" w:sz="0" w:space="0" w:color="auto"/>
      </w:divBdr>
      <w:divsChild>
        <w:div w:id="199435794">
          <w:marLeft w:val="0"/>
          <w:marRight w:val="0"/>
          <w:marTop w:val="0"/>
          <w:marBottom w:val="0"/>
          <w:divBdr>
            <w:top w:val="none" w:sz="0" w:space="0" w:color="auto"/>
            <w:left w:val="none" w:sz="0" w:space="0" w:color="auto"/>
            <w:bottom w:val="none" w:sz="0" w:space="0" w:color="auto"/>
            <w:right w:val="none" w:sz="0" w:space="0" w:color="auto"/>
          </w:divBdr>
        </w:div>
        <w:div w:id="600138478">
          <w:marLeft w:val="0"/>
          <w:marRight w:val="0"/>
          <w:marTop w:val="0"/>
          <w:marBottom w:val="0"/>
          <w:divBdr>
            <w:top w:val="none" w:sz="0" w:space="0" w:color="auto"/>
            <w:left w:val="none" w:sz="0" w:space="0" w:color="auto"/>
            <w:bottom w:val="none" w:sz="0" w:space="0" w:color="auto"/>
            <w:right w:val="none" w:sz="0" w:space="0" w:color="auto"/>
          </w:divBdr>
        </w:div>
        <w:div w:id="1679455012">
          <w:marLeft w:val="0"/>
          <w:marRight w:val="0"/>
          <w:marTop w:val="0"/>
          <w:marBottom w:val="0"/>
          <w:divBdr>
            <w:top w:val="none" w:sz="0" w:space="0" w:color="auto"/>
            <w:left w:val="none" w:sz="0" w:space="0" w:color="auto"/>
            <w:bottom w:val="none" w:sz="0" w:space="0" w:color="auto"/>
            <w:right w:val="none" w:sz="0" w:space="0" w:color="auto"/>
          </w:divBdr>
        </w:div>
        <w:div w:id="1315336903">
          <w:marLeft w:val="0"/>
          <w:marRight w:val="0"/>
          <w:marTop w:val="0"/>
          <w:marBottom w:val="0"/>
          <w:divBdr>
            <w:top w:val="none" w:sz="0" w:space="0" w:color="auto"/>
            <w:left w:val="none" w:sz="0" w:space="0" w:color="auto"/>
            <w:bottom w:val="none" w:sz="0" w:space="0" w:color="auto"/>
            <w:right w:val="none" w:sz="0" w:space="0" w:color="auto"/>
          </w:divBdr>
        </w:div>
        <w:div w:id="1939026053">
          <w:marLeft w:val="0"/>
          <w:marRight w:val="0"/>
          <w:marTop w:val="0"/>
          <w:marBottom w:val="0"/>
          <w:divBdr>
            <w:top w:val="none" w:sz="0" w:space="0" w:color="auto"/>
            <w:left w:val="none" w:sz="0" w:space="0" w:color="auto"/>
            <w:bottom w:val="none" w:sz="0" w:space="0" w:color="auto"/>
            <w:right w:val="none" w:sz="0" w:space="0" w:color="auto"/>
          </w:divBdr>
        </w:div>
        <w:div w:id="1728799214">
          <w:marLeft w:val="0"/>
          <w:marRight w:val="0"/>
          <w:marTop w:val="0"/>
          <w:marBottom w:val="0"/>
          <w:divBdr>
            <w:top w:val="none" w:sz="0" w:space="0" w:color="auto"/>
            <w:left w:val="none" w:sz="0" w:space="0" w:color="auto"/>
            <w:bottom w:val="none" w:sz="0" w:space="0" w:color="auto"/>
            <w:right w:val="none" w:sz="0" w:space="0" w:color="auto"/>
          </w:divBdr>
        </w:div>
        <w:div w:id="256181046">
          <w:marLeft w:val="0"/>
          <w:marRight w:val="0"/>
          <w:marTop w:val="0"/>
          <w:marBottom w:val="0"/>
          <w:divBdr>
            <w:top w:val="none" w:sz="0" w:space="0" w:color="auto"/>
            <w:left w:val="none" w:sz="0" w:space="0" w:color="auto"/>
            <w:bottom w:val="none" w:sz="0" w:space="0" w:color="auto"/>
            <w:right w:val="none" w:sz="0" w:space="0" w:color="auto"/>
          </w:divBdr>
        </w:div>
        <w:div w:id="855113746">
          <w:marLeft w:val="0"/>
          <w:marRight w:val="0"/>
          <w:marTop w:val="0"/>
          <w:marBottom w:val="0"/>
          <w:divBdr>
            <w:top w:val="none" w:sz="0" w:space="0" w:color="auto"/>
            <w:left w:val="none" w:sz="0" w:space="0" w:color="auto"/>
            <w:bottom w:val="none" w:sz="0" w:space="0" w:color="auto"/>
            <w:right w:val="none" w:sz="0" w:space="0" w:color="auto"/>
          </w:divBdr>
        </w:div>
        <w:div w:id="1050810457">
          <w:marLeft w:val="0"/>
          <w:marRight w:val="0"/>
          <w:marTop w:val="0"/>
          <w:marBottom w:val="0"/>
          <w:divBdr>
            <w:top w:val="none" w:sz="0" w:space="0" w:color="auto"/>
            <w:left w:val="none" w:sz="0" w:space="0" w:color="auto"/>
            <w:bottom w:val="none" w:sz="0" w:space="0" w:color="auto"/>
            <w:right w:val="none" w:sz="0" w:space="0" w:color="auto"/>
          </w:divBdr>
        </w:div>
        <w:div w:id="465396361">
          <w:marLeft w:val="0"/>
          <w:marRight w:val="0"/>
          <w:marTop w:val="0"/>
          <w:marBottom w:val="0"/>
          <w:divBdr>
            <w:top w:val="none" w:sz="0" w:space="0" w:color="auto"/>
            <w:left w:val="none" w:sz="0" w:space="0" w:color="auto"/>
            <w:bottom w:val="none" w:sz="0" w:space="0" w:color="auto"/>
            <w:right w:val="none" w:sz="0" w:space="0" w:color="auto"/>
          </w:divBdr>
        </w:div>
        <w:div w:id="1141191761">
          <w:marLeft w:val="0"/>
          <w:marRight w:val="0"/>
          <w:marTop w:val="0"/>
          <w:marBottom w:val="0"/>
          <w:divBdr>
            <w:top w:val="none" w:sz="0" w:space="0" w:color="auto"/>
            <w:left w:val="none" w:sz="0" w:space="0" w:color="auto"/>
            <w:bottom w:val="none" w:sz="0" w:space="0" w:color="auto"/>
            <w:right w:val="none" w:sz="0" w:space="0" w:color="auto"/>
          </w:divBdr>
        </w:div>
        <w:div w:id="606501523">
          <w:marLeft w:val="0"/>
          <w:marRight w:val="0"/>
          <w:marTop w:val="0"/>
          <w:marBottom w:val="0"/>
          <w:divBdr>
            <w:top w:val="none" w:sz="0" w:space="0" w:color="auto"/>
            <w:left w:val="none" w:sz="0" w:space="0" w:color="auto"/>
            <w:bottom w:val="none" w:sz="0" w:space="0" w:color="auto"/>
            <w:right w:val="none" w:sz="0" w:space="0" w:color="auto"/>
          </w:divBdr>
        </w:div>
      </w:divsChild>
    </w:div>
    <w:div w:id="669335687">
      <w:bodyDiv w:val="1"/>
      <w:marLeft w:val="0"/>
      <w:marRight w:val="0"/>
      <w:marTop w:val="0"/>
      <w:marBottom w:val="0"/>
      <w:divBdr>
        <w:top w:val="none" w:sz="0" w:space="0" w:color="auto"/>
        <w:left w:val="none" w:sz="0" w:space="0" w:color="auto"/>
        <w:bottom w:val="none" w:sz="0" w:space="0" w:color="auto"/>
        <w:right w:val="none" w:sz="0" w:space="0" w:color="auto"/>
      </w:divBdr>
      <w:divsChild>
        <w:div w:id="1180387228">
          <w:marLeft w:val="0"/>
          <w:marRight w:val="0"/>
          <w:marTop w:val="0"/>
          <w:marBottom w:val="0"/>
          <w:divBdr>
            <w:top w:val="none" w:sz="0" w:space="0" w:color="auto"/>
            <w:left w:val="none" w:sz="0" w:space="0" w:color="auto"/>
            <w:bottom w:val="none" w:sz="0" w:space="0" w:color="auto"/>
            <w:right w:val="none" w:sz="0" w:space="0" w:color="auto"/>
          </w:divBdr>
        </w:div>
        <w:div w:id="1056513974">
          <w:marLeft w:val="0"/>
          <w:marRight w:val="0"/>
          <w:marTop w:val="0"/>
          <w:marBottom w:val="0"/>
          <w:divBdr>
            <w:top w:val="none" w:sz="0" w:space="0" w:color="auto"/>
            <w:left w:val="none" w:sz="0" w:space="0" w:color="auto"/>
            <w:bottom w:val="none" w:sz="0" w:space="0" w:color="auto"/>
            <w:right w:val="none" w:sz="0" w:space="0" w:color="auto"/>
          </w:divBdr>
        </w:div>
        <w:div w:id="467672694">
          <w:marLeft w:val="0"/>
          <w:marRight w:val="0"/>
          <w:marTop w:val="0"/>
          <w:marBottom w:val="0"/>
          <w:divBdr>
            <w:top w:val="none" w:sz="0" w:space="0" w:color="auto"/>
            <w:left w:val="none" w:sz="0" w:space="0" w:color="auto"/>
            <w:bottom w:val="none" w:sz="0" w:space="0" w:color="auto"/>
            <w:right w:val="none" w:sz="0" w:space="0" w:color="auto"/>
          </w:divBdr>
        </w:div>
        <w:div w:id="771513823">
          <w:marLeft w:val="0"/>
          <w:marRight w:val="0"/>
          <w:marTop w:val="0"/>
          <w:marBottom w:val="0"/>
          <w:divBdr>
            <w:top w:val="none" w:sz="0" w:space="0" w:color="auto"/>
            <w:left w:val="none" w:sz="0" w:space="0" w:color="auto"/>
            <w:bottom w:val="none" w:sz="0" w:space="0" w:color="auto"/>
            <w:right w:val="none" w:sz="0" w:space="0" w:color="auto"/>
          </w:divBdr>
        </w:div>
        <w:div w:id="1734087003">
          <w:marLeft w:val="0"/>
          <w:marRight w:val="0"/>
          <w:marTop w:val="0"/>
          <w:marBottom w:val="0"/>
          <w:divBdr>
            <w:top w:val="none" w:sz="0" w:space="0" w:color="auto"/>
            <w:left w:val="none" w:sz="0" w:space="0" w:color="auto"/>
            <w:bottom w:val="none" w:sz="0" w:space="0" w:color="auto"/>
            <w:right w:val="none" w:sz="0" w:space="0" w:color="auto"/>
          </w:divBdr>
        </w:div>
        <w:div w:id="1850288925">
          <w:marLeft w:val="0"/>
          <w:marRight w:val="0"/>
          <w:marTop w:val="0"/>
          <w:marBottom w:val="0"/>
          <w:divBdr>
            <w:top w:val="none" w:sz="0" w:space="0" w:color="auto"/>
            <w:left w:val="none" w:sz="0" w:space="0" w:color="auto"/>
            <w:bottom w:val="none" w:sz="0" w:space="0" w:color="auto"/>
            <w:right w:val="none" w:sz="0" w:space="0" w:color="auto"/>
          </w:divBdr>
        </w:div>
        <w:div w:id="2063213993">
          <w:marLeft w:val="0"/>
          <w:marRight w:val="0"/>
          <w:marTop w:val="0"/>
          <w:marBottom w:val="0"/>
          <w:divBdr>
            <w:top w:val="none" w:sz="0" w:space="0" w:color="auto"/>
            <w:left w:val="none" w:sz="0" w:space="0" w:color="auto"/>
            <w:bottom w:val="none" w:sz="0" w:space="0" w:color="auto"/>
            <w:right w:val="none" w:sz="0" w:space="0" w:color="auto"/>
          </w:divBdr>
        </w:div>
        <w:div w:id="1645429741">
          <w:marLeft w:val="0"/>
          <w:marRight w:val="0"/>
          <w:marTop w:val="0"/>
          <w:marBottom w:val="0"/>
          <w:divBdr>
            <w:top w:val="none" w:sz="0" w:space="0" w:color="auto"/>
            <w:left w:val="none" w:sz="0" w:space="0" w:color="auto"/>
            <w:bottom w:val="none" w:sz="0" w:space="0" w:color="auto"/>
            <w:right w:val="none" w:sz="0" w:space="0" w:color="auto"/>
          </w:divBdr>
        </w:div>
        <w:div w:id="1718158980">
          <w:marLeft w:val="0"/>
          <w:marRight w:val="0"/>
          <w:marTop w:val="0"/>
          <w:marBottom w:val="0"/>
          <w:divBdr>
            <w:top w:val="none" w:sz="0" w:space="0" w:color="auto"/>
            <w:left w:val="none" w:sz="0" w:space="0" w:color="auto"/>
            <w:bottom w:val="none" w:sz="0" w:space="0" w:color="auto"/>
            <w:right w:val="none" w:sz="0" w:space="0" w:color="auto"/>
          </w:divBdr>
        </w:div>
        <w:div w:id="220213216">
          <w:marLeft w:val="0"/>
          <w:marRight w:val="0"/>
          <w:marTop w:val="0"/>
          <w:marBottom w:val="0"/>
          <w:divBdr>
            <w:top w:val="none" w:sz="0" w:space="0" w:color="auto"/>
            <w:left w:val="none" w:sz="0" w:space="0" w:color="auto"/>
            <w:bottom w:val="none" w:sz="0" w:space="0" w:color="auto"/>
            <w:right w:val="none" w:sz="0" w:space="0" w:color="auto"/>
          </w:divBdr>
        </w:div>
        <w:div w:id="1255439477">
          <w:marLeft w:val="0"/>
          <w:marRight w:val="0"/>
          <w:marTop w:val="0"/>
          <w:marBottom w:val="0"/>
          <w:divBdr>
            <w:top w:val="none" w:sz="0" w:space="0" w:color="auto"/>
            <w:left w:val="none" w:sz="0" w:space="0" w:color="auto"/>
            <w:bottom w:val="none" w:sz="0" w:space="0" w:color="auto"/>
            <w:right w:val="none" w:sz="0" w:space="0" w:color="auto"/>
          </w:divBdr>
        </w:div>
        <w:div w:id="833497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2020-04-26T11:51:00Z</dcterms:created>
  <dcterms:modified xsi:type="dcterms:W3CDTF">2020-04-26T11:51:00Z</dcterms:modified>
</cp:coreProperties>
</file>