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53" w:rsidRPr="005B5753" w:rsidRDefault="005B5753" w:rsidP="005B5753">
      <w:pPr>
        <w:jc w:val="center"/>
        <w:rPr>
          <w:sz w:val="32"/>
          <w:szCs w:val="32"/>
          <w:lang w:bidi="ar-EG"/>
        </w:rPr>
      </w:pPr>
      <w:bookmarkStart w:id="0" w:name="Anchor1"/>
      <w:bookmarkEnd w:id="0"/>
      <w:r w:rsidRPr="005B5753">
        <w:rPr>
          <w:sz w:val="32"/>
          <w:szCs w:val="32"/>
          <w:rtl/>
        </w:rPr>
        <w:t xml:space="preserve">الطعن رقم </w:t>
      </w:r>
      <w:bookmarkStart w:id="1" w:name="_GoBack"/>
      <w:bookmarkEnd w:id="1"/>
      <w:r w:rsidRPr="005B5753">
        <w:rPr>
          <w:sz w:val="32"/>
          <w:szCs w:val="32"/>
          <w:rtl/>
        </w:rPr>
        <w:t>786/2009</w:t>
      </w:r>
    </w:p>
    <w:p w:rsidR="005B5753" w:rsidRPr="005B5753" w:rsidRDefault="005B5753" w:rsidP="005B5753">
      <w:pPr>
        <w:rPr>
          <w:sz w:val="32"/>
          <w:szCs w:val="32"/>
          <w:lang w:bidi="ar-EG"/>
        </w:rPr>
      </w:pPr>
      <w:bookmarkStart w:id="2" w:name="Anchor6"/>
      <w:bookmarkEnd w:id="2"/>
      <w:r w:rsidRPr="005B5753">
        <w:rPr>
          <w:sz w:val="32"/>
          <w:szCs w:val="32"/>
          <w:rtl/>
        </w:rPr>
        <w:t>هيئة المحكمة</w:t>
      </w:r>
      <w:r w:rsidRPr="005B5753">
        <w:rPr>
          <w:sz w:val="32"/>
          <w:szCs w:val="32"/>
          <w:lang w:bidi="ar-EG"/>
        </w:rPr>
        <w:t xml:space="preserve">: </w:t>
      </w:r>
      <w:r w:rsidRPr="005B5753">
        <w:rPr>
          <w:sz w:val="32"/>
          <w:szCs w:val="32"/>
          <w:rtl/>
        </w:rPr>
        <w:t>برئاسة السيد المستشار عبدالعزيز الفهد وكيل المحكمة وعضوية السادة المستشارين يوسف العمران ومحمود التركاوي وعبدالرحمن مطاوع وعطية النادي</w:t>
      </w:r>
    </w:p>
    <w:bookmarkStart w:id="3" w:name="Anchor22"/>
    <w:bookmarkEnd w:id="3"/>
    <w:p w:rsidR="005B5753" w:rsidRPr="005B5753" w:rsidRDefault="005B5753" w:rsidP="005B5753">
      <w:pPr>
        <w:rPr>
          <w:sz w:val="32"/>
          <w:szCs w:val="32"/>
          <w:lang w:bidi="ar-EG"/>
        </w:rPr>
      </w:pPr>
      <w:r w:rsidRPr="005B5753">
        <w:rPr>
          <w:sz w:val="32"/>
          <w:szCs w:val="32"/>
          <w:lang w:bidi="ar-EG"/>
        </w:rPr>
        <w:fldChar w:fldCharType="begin"/>
      </w:r>
      <w:r w:rsidRPr="005B5753">
        <w:rPr>
          <w:sz w:val="32"/>
          <w:szCs w:val="32"/>
          <w:lang w:bidi="ar-EG"/>
        </w:rPr>
        <w:instrText xml:space="preserve"> HYPERLINK "http://www.law.gov.kw/KWT_CC-Ar/00_2014/00_%D8%A7%D9%84%D8%AF%D8%A7%D8%A6%D8%B1%D8%A9%20%D8%A7%D9%84%D8%AA%D8%AC%D8%A7%D8%B1%D9%8A%D8%A9/KWT-CC-Ar_2014-05-27_00786_Taan.html" \l "TM2014_786_1" </w:instrText>
      </w:r>
      <w:r w:rsidRPr="005B5753">
        <w:rPr>
          <w:sz w:val="32"/>
          <w:szCs w:val="32"/>
          <w:lang w:bidi="ar-EG"/>
        </w:rPr>
        <w:fldChar w:fldCharType="separate"/>
      </w:r>
      <w:r w:rsidRPr="005B5753">
        <w:rPr>
          <w:rStyle w:val="Hyperlink"/>
          <w:sz w:val="32"/>
          <w:szCs w:val="32"/>
          <w:lang w:bidi="ar-EG"/>
        </w:rPr>
        <w:t xml:space="preserve">1- </w:t>
      </w:r>
      <w:r w:rsidRPr="005B5753">
        <w:rPr>
          <w:rStyle w:val="Hyperlink"/>
          <w:sz w:val="32"/>
          <w:szCs w:val="32"/>
          <w:rtl/>
        </w:rPr>
        <w:t>إن على المحكمة بحث دفاع الخصم الجوهري الذي من شأنه تغيير وجه الرأي في الدعوى</w:t>
      </w:r>
      <w:r w:rsidRPr="005B5753">
        <w:rPr>
          <w:rStyle w:val="Hyperlink"/>
          <w:sz w:val="32"/>
          <w:szCs w:val="32"/>
          <w:lang w:bidi="ar-EG"/>
        </w:rPr>
        <w:t>.</w:t>
      </w:r>
      <w:r w:rsidRPr="005B5753">
        <w:rPr>
          <w:sz w:val="32"/>
          <w:szCs w:val="32"/>
          <w:lang w:bidi="ar-EG"/>
        </w:rPr>
        <w:fldChar w:fldCharType="end"/>
      </w:r>
    </w:p>
    <w:bookmarkStart w:id="4" w:name="Anchor30"/>
    <w:bookmarkEnd w:id="4"/>
    <w:p w:rsidR="005B5753" w:rsidRPr="005B5753" w:rsidRDefault="005B5753" w:rsidP="005B5753">
      <w:pPr>
        <w:rPr>
          <w:sz w:val="32"/>
          <w:szCs w:val="32"/>
          <w:lang w:bidi="ar-EG"/>
        </w:rPr>
      </w:pPr>
      <w:r w:rsidRPr="005B5753">
        <w:rPr>
          <w:sz w:val="32"/>
          <w:szCs w:val="32"/>
          <w:lang w:bidi="ar-EG"/>
        </w:rPr>
        <w:fldChar w:fldCharType="begin"/>
      </w:r>
      <w:r w:rsidRPr="005B5753">
        <w:rPr>
          <w:sz w:val="32"/>
          <w:szCs w:val="32"/>
          <w:lang w:bidi="ar-EG"/>
        </w:rPr>
        <w:instrText xml:space="preserve"> HYPERLINK "http://www.law.gov.kw/KWT_CC-Ar/00_2014/00_%D8%A7%D9%84%D8%AF%D8%A7%D8%A6%D8%B1%D8%A9%20%D8%A7%D9%84%D8%AA%D8%AC%D8%A7%D8%B1%D9%8A%D8%A9/KWT-CC-Ar_2014-05-27_00786_Taan.html" \l "TM2014_786_2" </w:instrText>
      </w:r>
      <w:r w:rsidRPr="005B5753">
        <w:rPr>
          <w:sz w:val="32"/>
          <w:szCs w:val="32"/>
          <w:lang w:bidi="ar-EG"/>
        </w:rPr>
        <w:fldChar w:fldCharType="separate"/>
      </w:r>
      <w:r w:rsidRPr="005B5753">
        <w:rPr>
          <w:rStyle w:val="Hyperlink"/>
          <w:sz w:val="32"/>
          <w:szCs w:val="32"/>
          <w:lang w:bidi="ar-EG"/>
        </w:rPr>
        <w:t xml:space="preserve">2- </w:t>
      </w:r>
      <w:r w:rsidRPr="005B5753">
        <w:rPr>
          <w:rStyle w:val="Hyperlink"/>
          <w:sz w:val="32"/>
          <w:szCs w:val="32"/>
          <w:rtl/>
        </w:rPr>
        <w:t>إن الحكم الصادر في دعوى الرجوع على شركة التأمين بالتعويض المسدد للورثة نتيجة وفاة المورث إثر إصابة العمل هو حكم معيب بالإخلال بحق الدفاع لعدم بحثه الدفاع الجوهري حول كون مسئولية شركة التأمين عن إصابات العمل محصورة بالأماكن المحددة في وثيقة التأمين</w:t>
      </w:r>
      <w:r w:rsidRPr="005B5753">
        <w:rPr>
          <w:rStyle w:val="Hyperlink"/>
          <w:sz w:val="32"/>
          <w:szCs w:val="32"/>
          <w:lang w:bidi="ar-EG"/>
        </w:rPr>
        <w:t>.</w:t>
      </w:r>
      <w:r w:rsidRPr="005B5753">
        <w:rPr>
          <w:sz w:val="32"/>
          <w:szCs w:val="32"/>
          <w:lang w:bidi="ar-EG"/>
        </w:rPr>
        <w:fldChar w:fldCharType="end"/>
      </w:r>
    </w:p>
    <w:bookmarkStart w:id="5" w:name="Anchor55"/>
    <w:bookmarkEnd w:id="5"/>
    <w:p w:rsidR="005B5753" w:rsidRPr="005B5753" w:rsidRDefault="005B5753" w:rsidP="005B5753">
      <w:pPr>
        <w:rPr>
          <w:sz w:val="32"/>
          <w:szCs w:val="32"/>
          <w:lang w:bidi="ar-EG"/>
        </w:rPr>
      </w:pPr>
      <w:r w:rsidRPr="005B5753">
        <w:rPr>
          <w:sz w:val="32"/>
          <w:szCs w:val="32"/>
          <w:lang w:bidi="ar-EG"/>
        </w:rPr>
        <w:fldChar w:fldCharType="begin"/>
      </w:r>
      <w:r w:rsidRPr="005B5753">
        <w:rPr>
          <w:sz w:val="32"/>
          <w:szCs w:val="32"/>
          <w:lang w:bidi="ar-EG"/>
        </w:rPr>
        <w:instrText xml:space="preserve"> HYPERLINK "http://www.law.gov.kw/KWT_CC-Ar/00_2014/00_%D8%A7%D9%84%D8%AF%D8%A7%D8%A6%D8%B1%D8%A9%20%D8%A7%D9%84%D8%AA%D8%AC%D8%A7%D8%B1%D9%8A%D8%A9/KWT-CC-Ar_2014-05-27_00786_Taan.html" \l "TM2014_786_3" </w:instrText>
      </w:r>
      <w:r w:rsidRPr="005B5753">
        <w:rPr>
          <w:sz w:val="32"/>
          <w:szCs w:val="32"/>
          <w:lang w:bidi="ar-EG"/>
        </w:rPr>
        <w:fldChar w:fldCharType="separate"/>
      </w:r>
      <w:r w:rsidRPr="005B5753">
        <w:rPr>
          <w:rStyle w:val="Hyperlink"/>
          <w:sz w:val="32"/>
          <w:szCs w:val="32"/>
          <w:lang w:bidi="ar-EG"/>
        </w:rPr>
        <w:t xml:space="preserve">3- </w:t>
      </w:r>
      <w:r w:rsidRPr="005B5753">
        <w:rPr>
          <w:rStyle w:val="Hyperlink"/>
          <w:sz w:val="32"/>
          <w:szCs w:val="32"/>
          <w:rtl/>
        </w:rPr>
        <w:t>إن نطاق ضمان المؤمن يتحدد بما تنص عليه وثيقة التأمين</w:t>
      </w:r>
      <w:r w:rsidRPr="005B5753">
        <w:rPr>
          <w:rStyle w:val="Hyperlink"/>
          <w:sz w:val="32"/>
          <w:szCs w:val="32"/>
          <w:lang w:bidi="ar-EG"/>
        </w:rPr>
        <w:t>.</w:t>
      </w:r>
      <w:r w:rsidRPr="005B5753">
        <w:rPr>
          <w:sz w:val="32"/>
          <w:szCs w:val="32"/>
          <w:lang w:bidi="ar-EG"/>
        </w:rPr>
        <w:fldChar w:fldCharType="end"/>
      </w:r>
    </w:p>
    <w:bookmarkStart w:id="6" w:name="Anchor62"/>
    <w:bookmarkEnd w:id="6"/>
    <w:p w:rsidR="005B5753" w:rsidRPr="005B5753" w:rsidRDefault="005B5753" w:rsidP="005B5753">
      <w:pPr>
        <w:rPr>
          <w:sz w:val="32"/>
          <w:szCs w:val="32"/>
          <w:lang w:bidi="ar-EG"/>
        </w:rPr>
      </w:pPr>
      <w:r w:rsidRPr="005B5753">
        <w:rPr>
          <w:sz w:val="32"/>
          <w:szCs w:val="32"/>
          <w:lang w:bidi="ar-EG"/>
        </w:rPr>
        <w:fldChar w:fldCharType="begin"/>
      </w:r>
      <w:r w:rsidRPr="005B5753">
        <w:rPr>
          <w:sz w:val="32"/>
          <w:szCs w:val="32"/>
          <w:lang w:bidi="ar-EG"/>
        </w:rPr>
        <w:instrText xml:space="preserve"> HYPERLINK "http://www.law.gov.kw/KWT_CC-Ar/00_2014/00_%D8%A7%D9%84%D8%AF%D8%A7%D8%A6%D8%B1%D8%A9%20%D8%A7%D9%84%D8%AA%D8%AC%D8%A7%D8%B1%D9%8A%D8%A9/KWT-CC-Ar_2014-05-27_00786_Taan.html" \l "TM2014_786_4" </w:instrText>
      </w:r>
      <w:r w:rsidRPr="005B5753">
        <w:rPr>
          <w:sz w:val="32"/>
          <w:szCs w:val="32"/>
          <w:lang w:bidi="ar-EG"/>
        </w:rPr>
        <w:fldChar w:fldCharType="separate"/>
      </w:r>
      <w:r w:rsidRPr="005B5753">
        <w:rPr>
          <w:rStyle w:val="Hyperlink"/>
          <w:sz w:val="32"/>
          <w:szCs w:val="32"/>
          <w:lang w:bidi="ar-EG"/>
        </w:rPr>
        <w:t xml:space="preserve">4- </w:t>
      </w:r>
      <w:r w:rsidRPr="005B5753">
        <w:rPr>
          <w:rStyle w:val="Hyperlink"/>
          <w:sz w:val="32"/>
          <w:szCs w:val="32"/>
          <w:rtl/>
        </w:rPr>
        <w:t>القضاء برفض دعوى الرجوع على شركة التأمين بالتعويض المسدد للورثة نتيجة وفاة المورث إثر إصابة العمل إذ إن الحادث الواقع أثناء العمل غير مشمول بالغطاء التأميني من حيث المكان حسب نص وثيقة التأمين</w:t>
      </w:r>
      <w:r w:rsidRPr="005B5753">
        <w:rPr>
          <w:rStyle w:val="Hyperlink"/>
          <w:sz w:val="32"/>
          <w:szCs w:val="32"/>
          <w:lang w:bidi="ar-EG"/>
        </w:rPr>
        <w:t>.</w:t>
      </w:r>
      <w:r w:rsidRPr="005B5753">
        <w:rPr>
          <w:sz w:val="32"/>
          <w:szCs w:val="32"/>
          <w:lang w:bidi="ar-EG"/>
        </w:rPr>
        <w:fldChar w:fldCharType="end"/>
      </w:r>
      <w:r w:rsidRPr="005B5753">
        <w:rPr>
          <w:sz w:val="32"/>
          <w:szCs w:val="32"/>
          <w:lang w:bidi="ar-EG"/>
        </w:rPr>
        <w:br/>
      </w:r>
      <w:r w:rsidRPr="005B5753">
        <w:rPr>
          <w:sz w:val="32"/>
          <w:szCs w:val="32"/>
          <w:lang w:bidi="ar-EG"/>
        </w:rPr>
        <w:br/>
      </w:r>
      <w:r w:rsidRPr="005B5753">
        <w:rPr>
          <w:sz w:val="32"/>
          <w:szCs w:val="32"/>
          <w:u w:val="single"/>
          <w:rtl/>
        </w:rPr>
        <w:t>ملاحظة</w:t>
      </w:r>
      <w:r w:rsidRPr="005B5753">
        <w:rPr>
          <w:sz w:val="32"/>
          <w:szCs w:val="32"/>
          <w:u w:val="single"/>
          <w:lang w:bidi="ar-EG"/>
        </w:rPr>
        <w:t xml:space="preserve"> :</w:t>
      </w:r>
      <w:r w:rsidRPr="005B5753">
        <w:rPr>
          <w:sz w:val="32"/>
          <w:szCs w:val="32"/>
          <w:lang w:bidi="ar-EG"/>
        </w:rPr>
        <w:br/>
      </w:r>
      <w:r w:rsidRPr="005B575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5B5753" w:rsidRPr="005B5753" w:rsidRDefault="005B5753" w:rsidP="005B5753">
      <w:pPr>
        <w:rPr>
          <w:sz w:val="32"/>
          <w:szCs w:val="32"/>
          <w:lang w:bidi="ar-EG"/>
        </w:rPr>
      </w:pPr>
      <w:bookmarkStart w:id="7" w:name="Anchor82"/>
      <w:bookmarkEnd w:id="7"/>
      <w:r w:rsidRPr="005B5753">
        <w:rPr>
          <w:b/>
          <w:bCs/>
          <w:sz w:val="32"/>
          <w:szCs w:val="32"/>
          <w:rtl/>
        </w:rPr>
        <w:t>المحكمة</w:t>
      </w:r>
    </w:p>
    <w:p w:rsidR="005B5753" w:rsidRPr="005B5753" w:rsidRDefault="005B5753" w:rsidP="005B5753">
      <w:pPr>
        <w:rPr>
          <w:sz w:val="32"/>
          <w:szCs w:val="32"/>
          <w:lang w:bidi="ar-EG"/>
        </w:rPr>
      </w:pPr>
      <w:bookmarkStart w:id="8" w:name="Anchor83"/>
      <w:bookmarkEnd w:id="8"/>
      <w:r w:rsidRPr="005B5753">
        <w:rPr>
          <w:sz w:val="32"/>
          <w:szCs w:val="32"/>
          <w:rtl/>
        </w:rPr>
        <w:t>بعد الاطلاع على الأوراق، وسماع المرافعة، وبعد المداولة</w:t>
      </w:r>
      <w:r w:rsidRPr="005B5753">
        <w:rPr>
          <w:sz w:val="32"/>
          <w:szCs w:val="32"/>
          <w:lang w:bidi="ar-EG"/>
        </w:rPr>
        <w:t>.</w:t>
      </w:r>
    </w:p>
    <w:p w:rsidR="005B5753" w:rsidRPr="005B5753" w:rsidRDefault="005B5753" w:rsidP="005B5753">
      <w:pPr>
        <w:rPr>
          <w:sz w:val="32"/>
          <w:szCs w:val="32"/>
          <w:lang w:bidi="ar-EG"/>
        </w:rPr>
      </w:pPr>
      <w:bookmarkStart w:id="9" w:name="Anchor90"/>
      <w:bookmarkEnd w:id="9"/>
      <w:r w:rsidRPr="005B5753">
        <w:rPr>
          <w:sz w:val="32"/>
          <w:szCs w:val="32"/>
          <w:rtl/>
        </w:rPr>
        <w:t>حيث إن الطعن استوفى أوضاعه الشكلية</w:t>
      </w:r>
      <w:r w:rsidRPr="005B5753">
        <w:rPr>
          <w:sz w:val="32"/>
          <w:szCs w:val="32"/>
          <w:lang w:bidi="ar-EG"/>
        </w:rPr>
        <w:t>.</w:t>
      </w:r>
    </w:p>
    <w:p w:rsidR="005B5753" w:rsidRPr="005B5753" w:rsidRDefault="005B5753" w:rsidP="005B5753">
      <w:pPr>
        <w:rPr>
          <w:sz w:val="32"/>
          <w:szCs w:val="32"/>
          <w:lang w:bidi="ar-EG"/>
        </w:rPr>
      </w:pPr>
      <w:bookmarkStart w:id="10" w:name="Anchor95"/>
      <w:bookmarkEnd w:id="10"/>
      <w:r w:rsidRPr="005B5753">
        <w:rPr>
          <w:sz w:val="32"/>
          <w:szCs w:val="32"/>
          <w:rtl/>
        </w:rPr>
        <w:t xml:space="preserve">وحيث إن الوقائع </w:t>
      </w:r>
      <w:r w:rsidRPr="005B5753">
        <w:rPr>
          <w:sz w:val="32"/>
          <w:szCs w:val="32"/>
          <w:lang w:bidi="ar-EG"/>
        </w:rPr>
        <w:t xml:space="preserve">– </w:t>
      </w:r>
      <w:r w:rsidRPr="005B5753">
        <w:rPr>
          <w:sz w:val="32"/>
          <w:szCs w:val="32"/>
          <w:rtl/>
        </w:rPr>
        <w:t xml:space="preserve">على ما يبين من الحكم المطعون فيه وسائر الأوراق </w:t>
      </w:r>
      <w:r w:rsidRPr="005B5753">
        <w:rPr>
          <w:sz w:val="32"/>
          <w:szCs w:val="32"/>
          <w:lang w:bidi="ar-EG"/>
        </w:rPr>
        <w:t xml:space="preserve">– </w:t>
      </w:r>
      <w:r w:rsidRPr="005B5753">
        <w:rPr>
          <w:sz w:val="32"/>
          <w:szCs w:val="32"/>
          <w:rtl/>
        </w:rPr>
        <w:t xml:space="preserve">تتحصل في أن الشركة المطعون ضدها أقامت الدعوى رقم 1003 لسنة 2008 تجاري كلي، للحكم بإلزام الشركة الطاعنة بأن تؤدي لها مبلغ </w:t>
      </w:r>
      <w:r w:rsidRPr="005B5753">
        <w:rPr>
          <w:sz w:val="32"/>
          <w:szCs w:val="32"/>
          <w:lang w:bidi="ar-EG"/>
        </w:rPr>
        <w:t xml:space="preserve">600/384‚10 </w:t>
      </w:r>
      <w:r w:rsidRPr="005B5753">
        <w:rPr>
          <w:sz w:val="32"/>
          <w:szCs w:val="32"/>
          <w:rtl/>
        </w:rPr>
        <w:t xml:space="preserve">ديناراً بالإضافة إلى ألف دينار أتعاب المحاماة الفعلية وقالت بياناً للدعوى أنها أمنت لدى الأخيرة بمقتضى وثيقة رقم 4/409920/2000 ضد إخطار إصابات العمل. وإذ أصيب </w:t>
      </w:r>
      <w:r w:rsidRPr="005B5753">
        <w:rPr>
          <w:sz w:val="32"/>
          <w:szCs w:val="32"/>
          <w:lang w:bidi="ar-EG"/>
        </w:rPr>
        <w:t xml:space="preserve">........ – </w:t>
      </w:r>
      <w:r w:rsidRPr="005B5753">
        <w:rPr>
          <w:sz w:val="32"/>
          <w:szCs w:val="32"/>
          <w:rtl/>
        </w:rPr>
        <w:t xml:space="preserve">أحد العاملين لديها </w:t>
      </w:r>
      <w:r w:rsidRPr="005B5753">
        <w:rPr>
          <w:sz w:val="32"/>
          <w:szCs w:val="32"/>
          <w:lang w:bidi="ar-EG"/>
        </w:rPr>
        <w:t xml:space="preserve">– </w:t>
      </w:r>
      <w:r w:rsidRPr="005B5753">
        <w:rPr>
          <w:sz w:val="32"/>
          <w:szCs w:val="32"/>
          <w:rtl/>
        </w:rPr>
        <w:t xml:space="preserve">إصابة أورته بحياته وقضى بحكم نهائي في </w:t>
      </w:r>
      <w:r w:rsidRPr="005B5753">
        <w:rPr>
          <w:sz w:val="32"/>
          <w:szCs w:val="32"/>
          <w:rtl/>
        </w:rPr>
        <w:lastRenderedPageBreak/>
        <w:t xml:space="preserve">الدعوى رقم 545 لسنة 2003 عمالي بإلزامها بأن تدفع لورثته المبلغ المطالب به كتعويض عن وفاته فقد حق لها الرجوع بمقداره على الشركة الطاعنة بالدعوى الماثلة حكمت المحكمة بإلزامها بأن تدفع للمطعون ضدها مبلغ </w:t>
      </w:r>
      <w:r w:rsidRPr="005B5753">
        <w:rPr>
          <w:sz w:val="32"/>
          <w:szCs w:val="32"/>
          <w:lang w:bidi="ar-EG"/>
        </w:rPr>
        <w:t xml:space="preserve">- 390/025‚10 </w:t>
      </w:r>
      <w:r w:rsidRPr="005B5753">
        <w:rPr>
          <w:sz w:val="32"/>
          <w:szCs w:val="32"/>
          <w:rtl/>
        </w:rPr>
        <w:t>ديناراً، وقدرت لها مائتي دينار أتعاب المحاماة الفعلية</w:t>
      </w:r>
      <w:r w:rsidRPr="005B5753">
        <w:rPr>
          <w:sz w:val="32"/>
          <w:szCs w:val="32"/>
          <w:lang w:bidi="ar-EG"/>
        </w:rPr>
        <w:t xml:space="preserve">. </w:t>
      </w:r>
      <w:r w:rsidRPr="005B5753">
        <w:rPr>
          <w:sz w:val="32"/>
          <w:szCs w:val="32"/>
          <w:rtl/>
        </w:rPr>
        <w:t>استأنفت الطاعنة هذا الحكم بالاستئناف رقم 3569 لسنة 2008 تجاري وأمرت المحكمة باستجواب الخصوم في بعض نقاط الدعوى وبعد تنفيذه، قضت بتاريخ 2009/4/27 برفض الاستئناف موضوعا وبتأييد الحكم المستأنف</w:t>
      </w:r>
      <w:r w:rsidRPr="005B5753">
        <w:rPr>
          <w:sz w:val="32"/>
          <w:szCs w:val="32"/>
          <w:lang w:bidi="ar-EG"/>
        </w:rPr>
        <w:t xml:space="preserve">. </w:t>
      </w:r>
      <w:r w:rsidRPr="005B5753">
        <w:rPr>
          <w:sz w:val="32"/>
          <w:szCs w:val="32"/>
          <w:rtl/>
        </w:rPr>
        <w:t>طعنت الطاعنة في هذا الحكم بطريق التمييز، وأودعت النيابة مذكرة أبدت فيها الرأي بتمييز الحكم المطعون فيه</w:t>
      </w:r>
      <w:r w:rsidRPr="005B5753">
        <w:rPr>
          <w:sz w:val="32"/>
          <w:szCs w:val="32"/>
          <w:lang w:bidi="ar-EG"/>
        </w:rPr>
        <w:t xml:space="preserve">. </w:t>
      </w:r>
      <w:r w:rsidRPr="005B5753">
        <w:rPr>
          <w:sz w:val="32"/>
          <w:szCs w:val="32"/>
          <w:rtl/>
        </w:rPr>
        <w:t xml:space="preserve">وإذ عرض الطعن على هذه المحكمة </w:t>
      </w:r>
      <w:r w:rsidRPr="005B5753">
        <w:rPr>
          <w:sz w:val="32"/>
          <w:szCs w:val="32"/>
          <w:lang w:bidi="ar-EG"/>
        </w:rPr>
        <w:t xml:space="preserve">– </w:t>
      </w:r>
      <w:r w:rsidRPr="005B5753">
        <w:rPr>
          <w:sz w:val="32"/>
          <w:szCs w:val="32"/>
          <w:rtl/>
        </w:rPr>
        <w:t xml:space="preserve">في غرفة المشورة </w:t>
      </w:r>
      <w:r w:rsidRPr="005B5753">
        <w:rPr>
          <w:sz w:val="32"/>
          <w:szCs w:val="32"/>
          <w:lang w:bidi="ar-EG"/>
        </w:rPr>
        <w:t xml:space="preserve">– </w:t>
      </w:r>
      <w:r w:rsidRPr="005B5753">
        <w:rPr>
          <w:sz w:val="32"/>
          <w:szCs w:val="32"/>
          <w:rtl/>
        </w:rPr>
        <w:t>حددت جلسة لنظره، وفيها التزمت النيابة رأيها</w:t>
      </w:r>
      <w:r w:rsidRPr="005B5753">
        <w:rPr>
          <w:sz w:val="32"/>
          <w:szCs w:val="32"/>
          <w:lang w:bidi="ar-EG"/>
        </w:rPr>
        <w:t>.</w:t>
      </w:r>
    </w:p>
    <w:p w:rsidR="005B5753" w:rsidRPr="005B5753" w:rsidRDefault="005B5753" w:rsidP="005B5753">
      <w:pPr>
        <w:rPr>
          <w:sz w:val="32"/>
          <w:szCs w:val="32"/>
          <w:lang w:bidi="ar-EG"/>
        </w:rPr>
      </w:pPr>
      <w:bookmarkStart w:id="11" w:name="Anchor203"/>
      <w:bookmarkEnd w:id="11"/>
      <w:r w:rsidRPr="005B5753">
        <w:rPr>
          <w:sz w:val="32"/>
          <w:szCs w:val="32"/>
          <w:rtl/>
        </w:rPr>
        <w:t>وحيث إن الطعن أقيم على سببين، تنعي الطاعنة بأولهما على الحكم المطعون فيه، القصور في التسبيب إذ تمسكت بصحيفة استئنافها بدفاع مؤداه أن وثيقة التأمين لا تغطي ما يحدث للعاملين أثناء مزاولة أعمالهم خارج الأماكن المحدد بها</w:t>
      </w:r>
      <w:r w:rsidRPr="005B5753">
        <w:rPr>
          <w:sz w:val="32"/>
          <w:szCs w:val="32"/>
          <w:lang w:bidi="ar-EG"/>
        </w:rPr>
        <w:t xml:space="preserve">. </w:t>
      </w:r>
      <w:r w:rsidRPr="005B5753">
        <w:rPr>
          <w:sz w:val="32"/>
          <w:szCs w:val="32"/>
          <w:rtl/>
        </w:rPr>
        <w:t>ماسكه بدلاله إخطار الحادث الذي اشتمل على بيان المكان الذي وقع فيه، بما ينتفي معه الضمان إلا أن الحكم المطعون فيه أيد الحكم الابتدائي بإلزامها أداء المبلغ المقضي به ولم بورد في أسبابه ما يصلح رداً على هذا الدفاع</w:t>
      </w:r>
      <w:r w:rsidRPr="005B5753">
        <w:rPr>
          <w:sz w:val="32"/>
          <w:szCs w:val="32"/>
          <w:lang w:bidi="ar-EG"/>
        </w:rPr>
        <w:t xml:space="preserve">. </w:t>
      </w:r>
      <w:r w:rsidRPr="005B5753">
        <w:rPr>
          <w:sz w:val="32"/>
          <w:szCs w:val="32"/>
          <w:rtl/>
        </w:rPr>
        <w:t>الأمر الذي يعيبه بما يستوجب تمييزه</w:t>
      </w:r>
      <w:r w:rsidRPr="005B5753">
        <w:rPr>
          <w:sz w:val="32"/>
          <w:szCs w:val="32"/>
          <w:lang w:bidi="ar-EG"/>
        </w:rPr>
        <w:t>.</w:t>
      </w:r>
    </w:p>
    <w:p w:rsidR="005B5753" w:rsidRPr="005B5753" w:rsidRDefault="005B5753" w:rsidP="005B5753">
      <w:pPr>
        <w:rPr>
          <w:sz w:val="32"/>
          <w:szCs w:val="32"/>
          <w:lang w:bidi="ar-EG"/>
        </w:rPr>
      </w:pPr>
      <w:bookmarkStart w:id="12" w:name="Anchor246"/>
      <w:bookmarkEnd w:id="12"/>
      <w:r w:rsidRPr="005B5753">
        <w:rPr>
          <w:sz w:val="32"/>
          <w:szCs w:val="32"/>
          <w:rtl/>
        </w:rPr>
        <w:t xml:space="preserve">وحيث إن هذا النعي في محله، ذلك أنه </w:t>
      </w:r>
      <w:bookmarkStart w:id="13" w:name="TM2014_786_1"/>
      <w:bookmarkEnd w:id="13"/>
      <w:r w:rsidRPr="005B5753">
        <w:rPr>
          <w:b/>
          <w:bCs/>
          <w:sz w:val="32"/>
          <w:szCs w:val="32"/>
          <w:rtl/>
        </w:rPr>
        <w:t>من المقرر أنه إذ تقدم الخصم بدفاع جوهري من شأن الأخذ به تغيير وجه الرأي في الدعوى فإنه يكون لزاما على المحكمة أن تواجه هذا الدفاع وأن تبدي رأيها فيه</w:t>
      </w:r>
      <w:r w:rsidRPr="005B5753">
        <w:rPr>
          <w:b/>
          <w:bCs/>
          <w:sz w:val="32"/>
          <w:szCs w:val="32"/>
          <w:lang w:bidi="ar-EG"/>
        </w:rPr>
        <w:t xml:space="preserve">. </w:t>
      </w:r>
      <w:r w:rsidRPr="005B5753">
        <w:rPr>
          <w:sz w:val="32"/>
          <w:szCs w:val="32"/>
          <w:rtl/>
        </w:rPr>
        <w:t xml:space="preserve">وكان </w:t>
      </w:r>
      <w:bookmarkStart w:id="14" w:name="TM2014_786_2"/>
      <w:bookmarkEnd w:id="14"/>
      <w:r w:rsidRPr="005B5753">
        <w:rPr>
          <w:b/>
          <w:bCs/>
          <w:sz w:val="32"/>
          <w:szCs w:val="32"/>
          <w:rtl/>
        </w:rPr>
        <w:t>الثابت من الاطلاع على صحيفة استئناف الطاعنة أن من بين الركائز التي شيد عليها الاستئناف بأن مسئوليتها عن إصابات العمل محصورة على ما يحدث للعاملين في أماكن عملهم المحددة بوثيقة التأمين وهي منطقة حولي والفروانية</w:t>
      </w:r>
      <w:r w:rsidRPr="005B5753">
        <w:rPr>
          <w:b/>
          <w:bCs/>
          <w:sz w:val="32"/>
          <w:szCs w:val="32"/>
          <w:lang w:bidi="ar-EG"/>
        </w:rPr>
        <w:t xml:space="preserve">. </w:t>
      </w:r>
      <w:r w:rsidRPr="005B5753">
        <w:rPr>
          <w:b/>
          <w:bCs/>
          <w:sz w:val="32"/>
          <w:szCs w:val="32"/>
          <w:rtl/>
        </w:rPr>
        <w:t xml:space="preserve">وتمسكت بدلاله إخطار الحادث الذي انطوى على بيان المكان الذي وقع فيه، فلا تسأل عن التعويض محل المطالبة. وإذ ليس الحكم المطعون فيه بهذا الدفاع ويقسطه حقه من التدقيق والبحث لإعمال أثره في حكمه </w:t>
      </w:r>
      <w:r w:rsidRPr="005B5753">
        <w:rPr>
          <w:b/>
          <w:bCs/>
          <w:sz w:val="32"/>
          <w:szCs w:val="32"/>
          <w:lang w:bidi="ar-EG"/>
        </w:rPr>
        <w:t xml:space="preserve">– </w:t>
      </w:r>
      <w:r w:rsidRPr="005B5753">
        <w:rPr>
          <w:b/>
          <w:bCs/>
          <w:sz w:val="32"/>
          <w:szCs w:val="32"/>
          <w:rtl/>
        </w:rPr>
        <w:t xml:space="preserve">إن صح </w:t>
      </w:r>
      <w:r w:rsidRPr="005B5753">
        <w:rPr>
          <w:b/>
          <w:bCs/>
          <w:sz w:val="32"/>
          <w:szCs w:val="32"/>
          <w:lang w:bidi="ar-EG"/>
        </w:rPr>
        <w:t xml:space="preserve">– </w:t>
      </w:r>
      <w:r w:rsidRPr="005B5753">
        <w:rPr>
          <w:b/>
          <w:bCs/>
          <w:sz w:val="32"/>
          <w:szCs w:val="32"/>
          <w:rtl/>
        </w:rPr>
        <w:t>مكتفيا باستخلاص الرابطة القائمة بين طرفي النزاع ووصفها وتحقق محلها وأحقية رجوع أحدهما على الأخر بما سدده من تعويض للمضرور. ورغم ذلك الدفاع جوهري يستلزم الرد عليه فيضحى الحكم بما ورد فيه لا يواجه دفاع الطاعنة ولا يصلح رداً عليه، قد عاجل الإخلال بحق الدفاع مما يصحه بالقصور ويوجب تمييزه لهذا السبب دون حاجة لبحث السبب الآخر من الطعن</w:t>
      </w:r>
      <w:r w:rsidRPr="005B5753">
        <w:rPr>
          <w:b/>
          <w:bCs/>
          <w:sz w:val="32"/>
          <w:szCs w:val="32"/>
          <w:lang w:bidi="ar-EG"/>
        </w:rPr>
        <w:t>.</w:t>
      </w:r>
    </w:p>
    <w:p w:rsidR="005B5753" w:rsidRPr="005B5753" w:rsidRDefault="005B5753" w:rsidP="005B5753">
      <w:pPr>
        <w:rPr>
          <w:sz w:val="32"/>
          <w:szCs w:val="32"/>
          <w:lang w:bidi="ar-EG"/>
        </w:rPr>
      </w:pPr>
      <w:bookmarkStart w:id="15" w:name="Anchor335"/>
      <w:bookmarkEnd w:id="15"/>
      <w:r w:rsidRPr="005B5753">
        <w:rPr>
          <w:sz w:val="32"/>
          <w:szCs w:val="32"/>
          <w:rtl/>
        </w:rPr>
        <w:t xml:space="preserve">وحيث إنه عن موضوع الاستئناف رقم 3569 لسنة 2008 تجاري. فإنه لما كان </w:t>
      </w:r>
      <w:bookmarkStart w:id="16" w:name="TM2014_786_3"/>
      <w:bookmarkEnd w:id="16"/>
      <w:r w:rsidRPr="005B5753">
        <w:rPr>
          <w:b/>
          <w:bCs/>
          <w:sz w:val="32"/>
          <w:szCs w:val="32"/>
          <w:rtl/>
        </w:rPr>
        <w:t xml:space="preserve">من المقرر </w:t>
      </w:r>
      <w:r w:rsidRPr="005B5753">
        <w:rPr>
          <w:b/>
          <w:bCs/>
          <w:sz w:val="32"/>
          <w:szCs w:val="32"/>
          <w:lang w:bidi="ar-EG"/>
        </w:rPr>
        <w:t xml:space="preserve">– </w:t>
      </w:r>
      <w:r w:rsidRPr="005B5753">
        <w:rPr>
          <w:b/>
          <w:bCs/>
          <w:sz w:val="32"/>
          <w:szCs w:val="32"/>
          <w:rtl/>
        </w:rPr>
        <w:t xml:space="preserve">في قضاء هذه المحكمة </w:t>
      </w:r>
      <w:r w:rsidRPr="005B5753">
        <w:rPr>
          <w:b/>
          <w:bCs/>
          <w:sz w:val="32"/>
          <w:szCs w:val="32"/>
          <w:lang w:bidi="ar-EG"/>
        </w:rPr>
        <w:t xml:space="preserve">– </w:t>
      </w:r>
      <w:r w:rsidRPr="005B5753">
        <w:rPr>
          <w:b/>
          <w:bCs/>
          <w:sz w:val="32"/>
          <w:szCs w:val="32"/>
          <w:rtl/>
        </w:rPr>
        <w:t>أن نطاق ضمان المؤمن إنما يتحدد بالحدود التي تنص عليها وثيقة التأمين وبما ينعقد الاتفاق عليه فيها</w:t>
      </w:r>
      <w:r w:rsidRPr="005B5753">
        <w:rPr>
          <w:sz w:val="32"/>
          <w:szCs w:val="32"/>
          <w:rtl/>
        </w:rPr>
        <w:t xml:space="preserve"> لما كان ذلك </w:t>
      </w:r>
      <w:bookmarkStart w:id="17" w:name="TM2014_786_4"/>
      <w:bookmarkEnd w:id="17"/>
      <w:r w:rsidRPr="005B5753">
        <w:rPr>
          <w:b/>
          <w:bCs/>
          <w:sz w:val="32"/>
          <w:szCs w:val="32"/>
          <w:rtl/>
        </w:rPr>
        <w:t xml:space="preserve">وكان سند المستأنف عليها في رجوعها على المستأنفة هو وثيقة التأمين رقم </w:t>
      </w:r>
      <w:r w:rsidRPr="005B5753">
        <w:rPr>
          <w:b/>
          <w:bCs/>
          <w:sz w:val="32"/>
          <w:szCs w:val="32"/>
          <w:lang w:bidi="ar-EG"/>
        </w:rPr>
        <w:t xml:space="preserve">409920/2000 </w:t>
      </w:r>
      <w:r w:rsidRPr="005B5753">
        <w:rPr>
          <w:b/>
          <w:bCs/>
          <w:sz w:val="32"/>
          <w:szCs w:val="32"/>
          <w:rtl/>
        </w:rPr>
        <w:t xml:space="preserve">المؤرخة 2000/9/14 التي تنظم العلاقة بينهما والبين من هذه الوثيقة أنها تأمين عمال، عين أمرها وبرده، ونطاق الضمان، حدها حولي </w:t>
      </w:r>
      <w:r w:rsidRPr="005B5753">
        <w:rPr>
          <w:b/>
          <w:bCs/>
          <w:sz w:val="32"/>
          <w:szCs w:val="32"/>
          <w:lang w:bidi="ar-EG"/>
        </w:rPr>
        <w:t xml:space="preserve">– </w:t>
      </w:r>
      <w:r w:rsidRPr="005B5753">
        <w:rPr>
          <w:b/>
          <w:bCs/>
          <w:sz w:val="32"/>
          <w:szCs w:val="32"/>
          <w:rtl/>
        </w:rPr>
        <w:t>الكويت. ثم أشير بعد ذلك إلى المؤمن عليه وصف العمل "تغطي هذه الوثيقة موظفي وعمال المؤمن له وذلك أثناء قيامهم بعملهم في أي مكان داخل دولة الكويت فيما يتعلق بتنفيذ المشروع الخاص بإنشاء وصيانة المباني العائدة لمنطقة حولي والفروانية والتبعة لبلدية الكويت، وكذلك أثناء انتفالهم من أماكن سكنهم وإلى العمل وبالعكس، على أن يسلكوا الطرق لاعتياديه والمباشرة</w:t>
      </w:r>
      <w:r w:rsidRPr="005B5753">
        <w:rPr>
          <w:b/>
          <w:bCs/>
          <w:sz w:val="32"/>
          <w:szCs w:val="32"/>
          <w:lang w:bidi="ar-EG"/>
        </w:rPr>
        <w:t xml:space="preserve">" .... </w:t>
      </w:r>
      <w:r w:rsidRPr="005B5753">
        <w:rPr>
          <w:b/>
          <w:bCs/>
          <w:sz w:val="32"/>
          <w:szCs w:val="32"/>
          <w:rtl/>
        </w:rPr>
        <w:t>بما مقتضاه أن المستأنفة لا تلزم بموجب وثيقة التأمين إلا بضمان الإخطار المنصوص على التأمين عنها وهي الإخطار التي تلحق بالمستأنف عليها بسبب إصابات عمالها أثناء مزاولة أعمالهم بمنطقتي حولي والفروانية</w:t>
      </w:r>
      <w:r w:rsidRPr="005B5753">
        <w:rPr>
          <w:b/>
          <w:bCs/>
          <w:sz w:val="32"/>
          <w:szCs w:val="32"/>
          <w:lang w:bidi="ar-EG"/>
        </w:rPr>
        <w:t xml:space="preserve">. </w:t>
      </w:r>
      <w:r w:rsidRPr="005B5753">
        <w:rPr>
          <w:b/>
          <w:bCs/>
          <w:sz w:val="32"/>
          <w:szCs w:val="32"/>
          <w:rtl/>
        </w:rPr>
        <w:t xml:space="preserve">وإذ كان الثابت بالأوراق </w:t>
      </w:r>
      <w:r w:rsidRPr="005B5753">
        <w:rPr>
          <w:b/>
          <w:bCs/>
          <w:sz w:val="32"/>
          <w:szCs w:val="32"/>
          <w:lang w:bidi="ar-EG"/>
        </w:rPr>
        <w:t xml:space="preserve">– </w:t>
      </w:r>
      <w:r w:rsidRPr="005B5753">
        <w:rPr>
          <w:b/>
          <w:bCs/>
          <w:sz w:val="32"/>
          <w:szCs w:val="32"/>
          <w:rtl/>
        </w:rPr>
        <w:t xml:space="preserve">ولا تماري المستأنف عليها في ذلك </w:t>
      </w:r>
      <w:r w:rsidRPr="005B5753">
        <w:rPr>
          <w:b/>
          <w:bCs/>
          <w:sz w:val="32"/>
          <w:szCs w:val="32"/>
          <w:lang w:bidi="ar-EG"/>
        </w:rPr>
        <w:t xml:space="preserve">– </w:t>
      </w:r>
      <w:r w:rsidRPr="005B5753">
        <w:rPr>
          <w:b/>
          <w:bCs/>
          <w:sz w:val="32"/>
          <w:szCs w:val="32"/>
          <w:rtl/>
        </w:rPr>
        <w:t>أن الحادث الذي تسبب عنه إصابة بأبنها وأودت بحياته من وقع أثناء عمله بمنطقة الشويخ، مما يجيزها عن مفهوم الحادث الذي يمتد إليه غطاء التأمين من حيث المكان الذي وقع فيه، فلا تسأل المستأنفة عن الضمان الذي التزمت به</w:t>
      </w:r>
      <w:r w:rsidRPr="005B5753">
        <w:rPr>
          <w:b/>
          <w:bCs/>
          <w:sz w:val="32"/>
          <w:szCs w:val="32"/>
          <w:lang w:bidi="ar-EG"/>
        </w:rPr>
        <w:t xml:space="preserve">. </w:t>
      </w:r>
      <w:r w:rsidRPr="005B5753">
        <w:rPr>
          <w:b/>
          <w:bCs/>
          <w:sz w:val="32"/>
          <w:szCs w:val="32"/>
          <w:rtl/>
        </w:rPr>
        <w:t>وعند الرجوع عليها بما سدد من تعويض للمضرورين لا أساس له. وإذ قضى الحكم المستأنف على خلاف ذلك فإنه يتعين التأثر ورفض الدعوى</w:t>
      </w:r>
      <w:r w:rsidRPr="005B5753">
        <w:rPr>
          <w:b/>
          <w:bCs/>
          <w:sz w:val="32"/>
          <w:szCs w:val="32"/>
          <w:lang w:bidi="ar-EG"/>
        </w:rPr>
        <w:t>.</w:t>
      </w:r>
    </w:p>
    <w:p w:rsidR="005B5753" w:rsidRPr="005B5753" w:rsidRDefault="005B5753" w:rsidP="005B5753">
      <w:pPr>
        <w:rPr>
          <w:sz w:val="32"/>
          <w:szCs w:val="32"/>
          <w:lang w:bidi="ar-EG"/>
        </w:rPr>
      </w:pPr>
      <w:bookmarkStart w:id="18" w:name="Anchor468"/>
      <w:bookmarkEnd w:id="18"/>
      <w:r w:rsidRPr="005B5753">
        <w:rPr>
          <w:sz w:val="32"/>
          <w:szCs w:val="32"/>
          <w:rtl/>
        </w:rPr>
        <w:t>وحيث إنه عن مصروفات الدرجتين فتلزم بها المستأنف عليها، وذلك عملاً بالمادتين 119/1، 147 من قانون المرافعات المدنية والتجارية</w:t>
      </w:r>
      <w:r w:rsidRPr="005B5753">
        <w:rPr>
          <w:sz w:val="32"/>
          <w:szCs w:val="32"/>
          <w:lang w:bidi="ar-EG"/>
        </w:rPr>
        <w:t>.</w:t>
      </w:r>
    </w:p>
    <w:p w:rsidR="005B5753" w:rsidRPr="005B5753" w:rsidRDefault="005B5753" w:rsidP="005B5753">
      <w:pPr>
        <w:rPr>
          <w:sz w:val="32"/>
          <w:szCs w:val="32"/>
          <w:lang w:bidi="ar-EG"/>
        </w:rPr>
      </w:pPr>
      <w:bookmarkStart w:id="19" w:name="Anchor481"/>
      <w:bookmarkEnd w:id="19"/>
      <w:r w:rsidRPr="005B5753">
        <w:rPr>
          <w:b/>
          <w:bCs/>
          <w:sz w:val="32"/>
          <w:szCs w:val="32"/>
          <w:rtl/>
        </w:rPr>
        <w:t>لذلك</w:t>
      </w:r>
    </w:p>
    <w:p w:rsidR="005B5753" w:rsidRPr="005B5753" w:rsidRDefault="005B5753" w:rsidP="005B5753">
      <w:pPr>
        <w:rPr>
          <w:sz w:val="32"/>
          <w:szCs w:val="32"/>
          <w:lang w:bidi="ar-EG"/>
        </w:rPr>
      </w:pPr>
      <w:bookmarkStart w:id="20" w:name="Anchor482"/>
      <w:bookmarkEnd w:id="20"/>
      <w:r w:rsidRPr="005B5753">
        <w:rPr>
          <w:b/>
          <w:bCs/>
          <w:sz w:val="32"/>
          <w:szCs w:val="32"/>
          <w:rtl/>
        </w:rPr>
        <w:t>حكمت المحكمة</w:t>
      </w:r>
      <w:r w:rsidRPr="005B5753">
        <w:rPr>
          <w:b/>
          <w:bCs/>
          <w:sz w:val="32"/>
          <w:szCs w:val="32"/>
          <w:lang w:bidi="ar-EG"/>
        </w:rPr>
        <w:t xml:space="preserve">:- </w:t>
      </w:r>
      <w:r w:rsidRPr="005B5753">
        <w:rPr>
          <w:b/>
          <w:bCs/>
          <w:sz w:val="32"/>
          <w:szCs w:val="32"/>
          <w:rtl/>
        </w:rPr>
        <w:t>أولاً</w:t>
      </w:r>
      <w:r w:rsidRPr="005B5753">
        <w:rPr>
          <w:b/>
          <w:bCs/>
          <w:sz w:val="32"/>
          <w:szCs w:val="32"/>
          <w:lang w:bidi="ar-EG"/>
        </w:rPr>
        <w:t>:</w:t>
      </w:r>
      <w:r w:rsidRPr="005B5753">
        <w:rPr>
          <w:sz w:val="32"/>
          <w:szCs w:val="32"/>
          <w:lang w:bidi="ar-EG"/>
        </w:rPr>
        <w:t xml:space="preserve"> </w:t>
      </w:r>
      <w:r w:rsidRPr="005B5753">
        <w:rPr>
          <w:sz w:val="32"/>
          <w:szCs w:val="32"/>
          <w:rtl/>
        </w:rPr>
        <w:t>بقبول الطعن شكلاً، وفي الموضوع بتمييز الحكم المطعون فيه وألزمت المطعون ضدها المصروفات ومبلغ عشرين ديناراً مقابل أتعاب المحاماة</w:t>
      </w:r>
      <w:r w:rsidRPr="005B5753">
        <w:rPr>
          <w:sz w:val="32"/>
          <w:szCs w:val="32"/>
          <w:lang w:bidi="ar-EG"/>
        </w:rPr>
        <w:t>.</w:t>
      </w:r>
    </w:p>
    <w:p w:rsidR="005B5753" w:rsidRPr="005B5753" w:rsidRDefault="005B5753" w:rsidP="005B5753">
      <w:pPr>
        <w:rPr>
          <w:sz w:val="32"/>
          <w:szCs w:val="32"/>
          <w:lang w:bidi="ar-EG"/>
        </w:rPr>
      </w:pPr>
      <w:bookmarkStart w:id="21" w:name="Anchor497"/>
      <w:bookmarkEnd w:id="21"/>
      <w:r w:rsidRPr="005B5753">
        <w:rPr>
          <w:b/>
          <w:bCs/>
          <w:sz w:val="32"/>
          <w:szCs w:val="32"/>
          <w:rtl/>
        </w:rPr>
        <w:t>ثانياً</w:t>
      </w:r>
      <w:r w:rsidRPr="005B5753">
        <w:rPr>
          <w:b/>
          <w:bCs/>
          <w:sz w:val="32"/>
          <w:szCs w:val="32"/>
          <w:lang w:bidi="ar-EG"/>
        </w:rPr>
        <w:t>:</w:t>
      </w:r>
      <w:r w:rsidRPr="005B5753">
        <w:rPr>
          <w:sz w:val="32"/>
          <w:szCs w:val="32"/>
          <w:lang w:bidi="ar-EG"/>
        </w:rPr>
        <w:t xml:space="preserve"> </w:t>
      </w:r>
      <w:r w:rsidRPr="005B5753">
        <w:rPr>
          <w:sz w:val="32"/>
          <w:szCs w:val="32"/>
          <w:rtl/>
        </w:rPr>
        <w:t>وفي موضوع الاستئناف رقم 3569 لسنة 2008 تجاري، بإلغاء الحكم المستأنف وبرفض الدعوى وألزمت المستأنف عليها المصروفات عن الدرجتين ومبلغ عشرين ديناراً مقابل أتعاب المحاماة</w:t>
      </w:r>
      <w:r w:rsidRPr="005B5753">
        <w:rPr>
          <w:sz w:val="32"/>
          <w:szCs w:val="32"/>
          <w:lang w:bidi="ar-EG"/>
        </w:rPr>
        <w:t>.</w:t>
      </w:r>
    </w:p>
    <w:p w:rsidR="005B5753" w:rsidRPr="005B5753" w:rsidRDefault="005B5753" w:rsidP="005B5753">
      <w:pPr>
        <w:rPr>
          <w:sz w:val="32"/>
          <w:szCs w:val="32"/>
          <w:lang w:bidi="ar-EG"/>
        </w:rPr>
      </w:pPr>
    </w:p>
    <w:p w:rsidR="005B5753" w:rsidRPr="005B5753" w:rsidRDefault="005B5753" w:rsidP="005B5753">
      <w:pPr>
        <w:rPr>
          <w:sz w:val="32"/>
          <w:szCs w:val="32"/>
          <w:lang w:bidi="ar-EG"/>
        </w:rPr>
      </w:pPr>
      <w:bookmarkStart w:id="22" w:name="Anchor515"/>
      <w:bookmarkEnd w:id="22"/>
      <w:r w:rsidRPr="005B5753">
        <w:rPr>
          <w:sz w:val="32"/>
          <w:szCs w:val="32"/>
          <w:lang w:bidi="ar-EG"/>
        </w:rPr>
        <w:t>* * *</w:t>
      </w:r>
    </w:p>
    <w:p w:rsidR="008C2BA0" w:rsidRPr="005B5753" w:rsidRDefault="008C2BA0">
      <w:pPr>
        <w:rPr>
          <w:rFonts w:hint="cs"/>
          <w:sz w:val="32"/>
          <w:szCs w:val="32"/>
          <w:lang w:bidi="ar-EG"/>
        </w:rPr>
      </w:pPr>
    </w:p>
    <w:sectPr w:rsidR="008C2BA0" w:rsidRPr="005B575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7F"/>
    <w:rsid w:val="0003272B"/>
    <w:rsid w:val="005B5753"/>
    <w:rsid w:val="008C2BA0"/>
    <w:rsid w:val="00A00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8976">
      <w:bodyDiv w:val="1"/>
      <w:marLeft w:val="0"/>
      <w:marRight w:val="0"/>
      <w:marTop w:val="0"/>
      <w:marBottom w:val="0"/>
      <w:divBdr>
        <w:top w:val="none" w:sz="0" w:space="0" w:color="auto"/>
        <w:left w:val="none" w:sz="0" w:space="0" w:color="auto"/>
        <w:bottom w:val="none" w:sz="0" w:space="0" w:color="auto"/>
        <w:right w:val="none" w:sz="0" w:space="0" w:color="auto"/>
      </w:divBdr>
      <w:divsChild>
        <w:div w:id="745952397">
          <w:marLeft w:val="0"/>
          <w:marRight w:val="0"/>
          <w:marTop w:val="0"/>
          <w:marBottom w:val="0"/>
          <w:divBdr>
            <w:top w:val="none" w:sz="0" w:space="0" w:color="auto"/>
            <w:left w:val="none" w:sz="0" w:space="0" w:color="auto"/>
            <w:bottom w:val="none" w:sz="0" w:space="0" w:color="auto"/>
            <w:right w:val="none" w:sz="0" w:space="0" w:color="auto"/>
          </w:divBdr>
        </w:div>
        <w:div w:id="1445415709">
          <w:marLeft w:val="0"/>
          <w:marRight w:val="0"/>
          <w:marTop w:val="0"/>
          <w:marBottom w:val="0"/>
          <w:divBdr>
            <w:top w:val="none" w:sz="0" w:space="0" w:color="auto"/>
            <w:left w:val="none" w:sz="0" w:space="0" w:color="auto"/>
            <w:bottom w:val="none" w:sz="0" w:space="0" w:color="auto"/>
            <w:right w:val="none" w:sz="0" w:space="0" w:color="auto"/>
          </w:divBdr>
        </w:div>
        <w:div w:id="783110821">
          <w:marLeft w:val="0"/>
          <w:marRight w:val="0"/>
          <w:marTop w:val="0"/>
          <w:marBottom w:val="0"/>
          <w:divBdr>
            <w:top w:val="none" w:sz="0" w:space="0" w:color="auto"/>
            <w:left w:val="none" w:sz="0" w:space="0" w:color="auto"/>
            <w:bottom w:val="none" w:sz="0" w:space="0" w:color="auto"/>
            <w:right w:val="none" w:sz="0" w:space="0" w:color="auto"/>
          </w:divBdr>
        </w:div>
        <w:div w:id="456073514">
          <w:marLeft w:val="0"/>
          <w:marRight w:val="0"/>
          <w:marTop w:val="0"/>
          <w:marBottom w:val="0"/>
          <w:divBdr>
            <w:top w:val="none" w:sz="0" w:space="0" w:color="auto"/>
            <w:left w:val="none" w:sz="0" w:space="0" w:color="auto"/>
            <w:bottom w:val="none" w:sz="0" w:space="0" w:color="auto"/>
            <w:right w:val="none" w:sz="0" w:space="0" w:color="auto"/>
          </w:divBdr>
        </w:div>
        <w:div w:id="1490364458">
          <w:marLeft w:val="0"/>
          <w:marRight w:val="0"/>
          <w:marTop w:val="0"/>
          <w:marBottom w:val="0"/>
          <w:divBdr>
            <w:top w:val="none" w:sz="0" w:space="0" w:color="auto"/>
            <w:left w:val="none" w:sz="0" w:space="0" w:color="auto"/>
            <w:bottom w:val="none" w:sz="0" w:space="0" w:color="auto"/>
            <w:right w:val="none" w:sz="0" w:space="0" w:color="auto"/>
          </w:divBdr>
        </w:div>
        <w:div w:id="1757089181">
          <w:marLeft w:val="0"/>
          <w:marRight w:val="0"/>
          <w:marTop w:val="0"/>
          <w:marBottom w:val="0"/>
          <w:divBdr>
            <w:top w:val="none" w:sz="0" w:space="0" w:color="auto"/>
            <w:left w:val="none" w:sz="0" w:space="0" w:color="auto"/>
            <w:bottom w:val="none" w:sz="0" w:space="0" w:color="auto"/>
            <w:right w:val="none" w:sz="0" w:space="0" w:color="auto"/>
          </w:divBdr>
        </w:div>
        <w:div w:id="1165321863">
          <w:marLeft w:val="0"/>
          <w:marRight w:val="0"/>
          <w:marTop w:val="0"/>
          <w:marBottom w:val="0"/>
          <w:divBdr>
            <w:top w:val="none" w:sz="0" w:space="0" w:color="auto"/>
            <w:left w:val="none" w:sz="0" w:space="0" w:color="auto"/>
            <w:bottom w:val="none" w:sz="0" w:space="0" w:color="auto"/>
            <w:right w:val="none" w:sz="0" w:space="0" w:color="auto"/>
          </w:divBdr>
        </w:div>
        <w:div w:id="2130052656">
          <w:marLeft w:val="0"/>
          <w:marRight w:val="0"/>
          <w:marTop w:val="0"/>
          <w:marBottom w:val="0"/>
          <w:divBdr>
            <w:top w:val="none" w:sz="0" w:space="0" w:color="auto"/>
            <w:left w:val="none" w:sz="0" w:space="0" w:color="auto"/>
            <w:bottom w:val="none" w:sz="0" w:space="0" w:color="auto"/>
            <w:right w:val="none" w:sz="0" w:space="0" w:color="auto"/>
          </w:divBdr>
        </w:div>
        <w:div w:id="1564678204">
          <w:marLeft w:val="0"/>
          <w:marRight w:val="0"/>
          <w:marTop w:val="0"/>
          <w:marBottom w:val="0"/>
          <w:divBdr>
            <w:top w:val="none" w:sz="0" w:space="0" w:color="auto"/>
            <w:left w:val="none" w:sz="0" w:space="0" w:color="auto"/>
            <w:bottom w:val="none" w:sz="0" w:space="0" w:color="auto"/>
            <w:right w:val="none" w:sz="0" w:space="0" w:color="auto"/>
          </w:divBdr>
        </w:div>
        <w:div w:id="1116485380">
          <w:marLeft w:val="0"/>
          <w:marRight w:val="0"/>
          <w:marTop w:val="0"/>
          <w:marBottom w:val="0"/>
          <w:divBdr>
            <w:top w:val="none" w:sz="0" w:space="0" w:color="auto"/>
            <w:left w:val="none" w:sz="0" w:space="0" w:color="auto"/>
            <w:bottom w:val="none" w:sz="0" w:space="0" w:color="auto"/>
            <w:right w:val="none" w:sz="0" w:space="0" w:color="auto"/>
          </w:divBdr>
        </w:div>
        <w:div w:id="457382194">
          <w:marLeft w:val="0"/>
          <w:marRight w:val="0"/>
          <w:marTop w:val="0"/>
          <w:marBottom w:val="0"/>
          <w:divBdr>
            <w:top w:val="none" w:sz="0" w:space="0" w:color="auto"/>
            <w:left w:val="none" w:sz="0" w:space="0" w:color="auto"/>
            <w:bottom w:val="none" w:sz="0" w:space="0" w:color="auto"/>
            <w:right w:val="none" w:sz="0" w:space="0" w:color="auto"/>
          </w:divBdr>
        </w:div>
        <w:div w:id="495196301">
          <w:marLeft w:val="0"/>
          <w:marRight w:val="0"/>
          <w:marTop w:val="0"/>
          <w:marBottom w:val="0"/>
          <w:divBdr>
            <w:top w:val="none" w:sz="0" w:space="0" w:color="auto"/>
            <w:left w:val="none" w:sz="0" w:space="0" w:color="auto"/>
            <w:bottom w:val="none" w:sz="0" w:space="0" w:color="auto"/>
            <w:right w:val="none" w:sz="0" w:space="0" w:color="auto"/>
          </w:divBdr>
        </w:div>
        <w:div w:id="1621644041">
          <w:marLeft w:val="0"/>
          <w:marRight w:val="0"/>
          <w:marTop w:val="0"/>
          <w:marBottom w:val="0"/>
          <w:divBdr>
            <w:top w:val="none" w:sz="0" w:space="0" w:color="auto"/>
            <w:left w:val="none" w:sz="0" w:space="0" w:color="auto"/>
            <w:bottom w:val="none" w:sz="0" w:space="0" w:color="auto"/>
            <w:right w:val="none" w:sz="0" w:space="0" w:color="auto"/>
          </w:divBdr>
        </w:div>
        <w:div w:id="862983488">
          <w:marLeft w:val="0"/>
          <w:marRight w:val="0"/>
          <w:marTop w:val="0"/>
          <w:marBottom w:val="0"/>
          <w:divBdr>
            <w:top w:val="none" w:sz="0" w:space="0" w:color="auto"/>
            <w:left w:val="none" w:sz="0" w:space="0" w:color="auto"/>
            <w:bottom w:val="none" w:sz="0" w:space="0" w:color="auto"/>
            <w:right w:val="none" w:sz="0" w:space="0" w:color="auto"/>
          </w:divBdr>
        </w:div>
        <w:div w:id="1497375400">
          <w:marLeft w:val="0"/>
          <w:marRight w:val="0"/>
          <w:marTop w:val="0"/>
          <w:marBottom w:val="0"/>
          <w:divBdr>
            <w:top w:val="none" w:sz="0" w:space="0" w:color="auto"/>
            <w:left w:val="none" w:sz="0" w:space="0" w:color="auto"/>
            <w:bottom w:val="none" w:sz="0" w:space="0" w:color="auto"/>
            <w:right w:val="none" w:sz="0" w:space="0" w:color="auto"/>
          </w:divBdr>
        </w:div>
        <w:div w:id="694817535">
          <w:marLeft w:val="0"/>
          <w:marRight w:val="0"/>
          <w:marTop w:val="0"/>
          <w:marBottom w:val="0"/>
          <w:divBdr>
            <w:top w:val="none" w:sz="0" w:space="0" w:color="auto"/>
            <w:left w:val="none" w:sz="0" w:space="0" w:color="auto"/>
            <w:bottom w:val="none" w:sz="0" w:space="0" w:color="auto"/>
            <w:right w:val="none" w:sz="0" w:space="0" w:color="auto"/>
          </w:divBdr>
        </w:div>
        <w:div w:id="1532066322">
          <w:marLeft w:val="0"/>
          <w:marRight w:val="0"/>
          <w:marTop w:val="0"/>
          <w:marBottom w:val="0"/>
          <w:divBdr>
            <w:top w:val="none" w:sz="0" w:space="0" w:color="auto"/>
            <w:left w:val="none" w:sz="0" w:space="0" w:color="auto"/>
            <w:bottom w:val="none" w:sz="0" w:space="0" w:color="auto"/>
            <w:right w:val="none" w:sz="0" w:space="0" w:color="auto"/>
          </w:divBdr>
        </w:div>
        <w:div w:id="900679366">
          <w:marLeft w:val="0"/>
          <w:marRight w:val="0"/>
          <w:marTop w:val="0"/>
          <w:marBottom w:val="0"/>
          <w:divBdr>
            <w:top w:val="none" w:sz="0" w:space="0" w:color="auto"/>
            <w:left w:val="none" w:sz="0" w:space="0" w:color="auto"/>
            <w:bottom w:val="none" w:sz="0" w:space="0" w:color="auto"/>
            <w:right w:val="none" w:sz="0" w:space="0" w:color="auto"/>
          </w:divBdr>
        </w:div>
      </w:divsChild>
    </w:div>
    <w:div w:id="1466003253">
      <w:bodyDiv w:val="1"/>
      <w:marLeft w:val="0"/>
      <w:marRight w:val="0"/>
      <w:marTop w:val="0"/>
      <w:marBottom w:val="0"/>
      <w:divBdr>
        <w:top w:val="none" w:sz="0" w:space="0" w:color="auto"/>
        <w:left w:val="none" w:sz="0" w:space="0" w:color="auto"/>
        <w:bottom w:val="none" w:sz="0" w:space="0" w:color="auto"/>
        <w:right w:val="none" w:sz="0" w:space="0" w:color="auto"/>
      </w:divBdr>
      <w:divsChild>
        <w:div w:id="881215717">
          <w:marLeft w:val="0"/>
          <w:marRight w:val="0"/>
          <w:marTop w:val="0"/>
          <w:marBottom w:val="0"/>
          <w:divBdr>
            <w:top w:val="none" w:sz="0" w:space="0" w:color="auto"/>
            <w:left w:val="none" w:sz="0" w:space="0" w:color="auto"/>
            <w:bottom w:val="none" w:sz="0" w:space="0" w:color="auto"/>
            <w:right w:val="none" w:sz="0" w:space="0" w:color="auto"/>
          </w:divBdr>
        </w:div>
        <w:div w:id="337344317">
          <w:marLeft w:val="0"/>
          <w:marRight w:val="0"/>
          <w:marTop w:val="0"/>
          <w:marBottom w:val="0"/>
          <w:divBdr>
            <w:top w:val="none" w:sz="0" w:space="0" w:color="auto"/>
            <w:left w:val="none" w:sz="0" w:space="0" w:color="auto"/>
            <w:bottom w:val="none" w:sz="0" w:space="0" w:color="auto"/>
            <w:right w:val="none" w:sz="0" w:space="0" w:color="auto"/>
          </w:divBdr>
        </w:div>
        <w:div w:id="283073628">
          <w:marLeft w:val="0"/>
          <w:marRight w:val="0"/>
          <w:marTop w:val="0"/>
          <w:marBottom w:val="0"/>
          <w:divBdr>
            <w:top w:val="none" w:sz="0" w:space="0" w:color="auto"/>
            <w:left w:val="none" w:sz="0" w:space="0" w:color="auto"/>
            <w:bottom w:val="none" w:sz="0" w:space="0" w:color="auto"/>
            <w:right w:val="none" w:sz="0" w:space="0" w:color="auto"/>
          </w:divBdr>
        </w:div>
        <w:div w:id="1804227077">
          <w:marLeft w:val="0"/>
          <w:marRight w:val="0"/>
          <w:marTop w:val="0"/>
          <w:marBottom w:val="0"/>
          <w:divBdr>
            <w:top w:val="none" w:sz="0" w:space="0" w:color="auto"/>
            <w:left w:val="none" w:sz="0" w:space="0" w:color="auto"/>
            <w:bottom w:val="none" w:sz="0" w:space="0" w:color="auto"/>
            <w:right w:val="none" w:sz="0" w:space="0" w:color="auto"/>
          </w:divBdr>
        </w:div>
        <w:div w:id="576061755">
          <w:marLeft w:val="0"/>
          <w:marRight w:val="0"/>
          <w:marTop w:val="0"/>
          <w:marBottom w:val="0"/>
          <w:divBdr>
            <w:top w:val="none" w:sz="0" w:space="0" w:color="auto"/>
            <w:left w:val="none" w:sz="0" w:space="0" w:color="auto"/>
            <w:bottom w:val="none" w:sz="0" w:space="0" w:color="auto"/>
            <w:right w:val="none" w:sz="0" w:space="0" w:color="auto"/>
          </w:divBdr>
        </w:div>
        <w:div w:id="989867926">
          <w:marLeft w:val="0"/>
          <w:marRight w:val="0"/>
          <w:marTop w:val="0"/>
          <w:marBottom w:val="0"/>
          <w:divBdr>
            <w:top w:val="none" w:sz="0" w:space="0" w:color="auto"/>
            <w:left w:val="none" w:sz="0" w:space="0" w:color="auto"/>
            <w:bottom w:val="none" w:sz="0" w:space="0" w:color="auto"/>
            <w:right w:val="none" w:sz="0" w:space="0" w:color="auto"/>
          </w:divBdr>
        </w:div>
        <w:div w:id="708190100">
          <w:marLeft w:val="0"/>
          <w:marRight w:val="0"/>
          <w:marTop w:val="0"/>
          <w:marBottom w:val="0"/>
          <w:divBdr>
            <w:top w:val="none" w:sz="0" w:space="0" w:color="auto"/>
            <w:left w:val="none" w:sz="0" w:space="0" w:color="auto"/>
            <w:bottom w:val="none" w:sz="0" w:space="0" w:color="auto"/>
            <w:right w:val="none" w:sz="0" w:space="0" w:color="auto"/>
          </w:divBdr>
        </w:div>
        <w:div w:id="1899899932">
          <w:marLeft w:val="0"/>
          <w:marRight w:val="0"/>
          <w:marTop w:val="0"/>
          <w:marBottom w:val="0"/>
          <w:divBdr>
            <w:top w:val="none" w:sz="0" w:space="0" w:color="auto"/>
            <w:left w:val="none" w:sz="0" w:space="0" w:color="auto"/>
            <w:bottom w:val="none" w:sz="0" w:space="0" w:color="auto"/>
            <w:right w:val="none" w:sz="0" w:space="0" w:color="auto"/>
          </w:divBdr>
        </w:div>
        <w:div w:id="807210026">
          <w:marLeft w:val="0"/>
          <w:marRight w:val="0"/>
          <w:marTop w:val="0"/>
          <w:marBottom w:val="0"/>
          <w:divBdr>
            <w:top w:val="none" w:sz="0" w:space="0" w:color="auto"/>
            <w:left w:val="none" w:sz="0" w:space="0" w:color="auto"/>
            <w:bottom w:val="none" w:sz="0" w:space="0" w:color="auto"/>
            <w:right w:val="none" w:sz="0" w:space="0" w:color="auto"/>
          </w:divBdr>
        </w:div>
        <w:div w:id="781144495">
          <w:marLeft w:val="0"/>
          <w:marRight w:val="0"/>
          <w:marTop w:val="0"/>
          <w:marBottom w:val="0"/>
          <w:divBdr>
            <w:top w:val="none" w:sz="0" w:space="0" w:color="auto"/>
            <w:left w:val="none" w:sz="0" w:space="0" w:color="auto"/>
            <w:bottom w:val="none" w:sz="0" w:space="0" w:color="auto"/>
            <w:right w:val="none" w:sz="0" w:space="0" w:color="auto"/>
          </w:divBdr>
        </w:div>
        <w:div w:id="1200437399">
          <w:marLeft w:val="0"/>
          <w:marRight w:val="0"/>
          <w:marTop w:val="0"/>
          <w:marBottom w:val="0"/>
          <w:divBdr>
            <w:top w:val="none" w:sz="0" w:space="0" w:color="auto"/>
            <w:left w:val="none" w:sz="0" w:space="0" w:color="auto"/>
            <w:bottom w:val="none" w:sz="0" w:space="0" w:color="auto"/>
            <w:right w:val="none" w:sz="0" w:space="0" w:color="auto"/>
          </w:divBdr>
        </w:div>
        <w:div w:id="50277036">
          <w:marLeft w:val="0"/>
          <w:marRight w:val="0"/>
          <w:marTop w:val="0"/>
          <w:marBottom w:val="0"/>
          <w:divBdr>
            <w:top w:val="none" w:sz="0" w:space="0" w:color="auto"/>
            <w:left w:val="none" w:sz="0" w:space="0" w:color="auto"/>
            <w:bottom w:val="none" w:sz="0" w:space="0" w:color="auto"/>
            <w:right w:val="none" w:sz="0" w:space="0" w:color="auto"/>
          </w:divBdr>
        </w:div>
        <w:div w:id="790896987">
          <w:marLeft w:val="0"/>
          <w:marRight w:val="0"/>
          <w:marTop w:val="0"/>
          <w:marBottom w:val="0"/>
          <w:divBdr>
            <w:top w:val="none" w:sz="0" w:space="0" w:color="auto"/>
            <w:left w:val="none" w:sz="0" w:space="0" w:color="auto"/>
            <w:bottom w:val="none" w:sz="0" w:space="0" w:color="auto"/>
            <w:right w:val="none" w:sz="0" w:space="0" w:color="auto"/>
          </w:divBdr>
        </w:div>
        <w:div w:id="1075736455">
          <w:marLeft w:val="0"/>
          <w:marRight w:val="0"/>
          <w:marTop w:val="0"/>
          <w:marBottom w:val="0"/>
          <w:divBdr>
            <w:top w:val="none" w:sz="0" w:space="0" w:color="auto"/>
            <w:left w:val="none" w:sz="0" w:space="0" w:color="auto"/>
            <w:bottom w:val="none" w:sz="0" w:space="0" w:color="auto"/>
            <w:right w:val="none" w:sz="0" w:space="0" w:color="auto"/>
          </w:divBdr>
        </w:div>
        <w:div w:id="1198467320">
          <w:marLeft w:val="0"/>
          <w:marRight w:val="0"/>
          <w:marTop w:val="0"/>
          <w:marBottom w:val="0"/>
          <w:divBdr>
            <w:top w:val="none" w:sz="0" w:space="0" w:color="auto"/>
            <w:left w:val="none" w:sz="0" w:space="0" w:color="auto"/>
            <w:bottom w:val="none" w:sz="0" w:space="0" w:color="auto"/>
            <w:right w:val="none" w:sz="0" w:space="0" w:color="auto"/>
          </w:divBdr>
        </w:div>
        <w:div w:id="1272593788">
          <w:marLeft w:val="0"/>
          <w:marRight w:val="0"/>
          <w:marTop w:val="0"/>
          <w:marBottom w:val="0"/>
          <w:divBdr>
            <w:top w:val="none" w:sz="0" w:space="0" w:color="auto"/>
            <w:left w:val="none" w:sz="0" w:space="0" w:color="auto"/>
            <w:bottom w:val="none" w:sz="0" w:space="0" w:color="auto"/>
            <w:right w:val="none" w:sz="0" w:space="0" w:color="auto"/>
          </w:divBdr>
        </w:div>
        <w:div w:id="1180847555">
          <w:marLeft w:val="0"/>
          <w:marRight w:val="0"/>
          <w:marTop w:val="0"/>
          <w:marBottom w:val="0"/>
          <w:divBdr>
            <w:top w:val="none" w:sz="0" w:space="0" w:color="auto"/>
            <w:left w:val="none" w:sz="0" w:space="0" w:color="auto"/>
            <w:bottom w:val="none" w:sz="0" w:space="0" w:color="auto"/>
            <w:right w:val="none" w:sz="0" w:space="0" w:color="auto"/>
          </w:divBdr>
        </w:div>
        <w:div w:id="114951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2020-04-26T12:17:00Z</dcterms:created>
  <dcterms:modified xsi:type="dcterms:W3CDTF">2020-04-26T12:17:00Z</dcterms:modified>
</cp:coreProperties>
</file>