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FC2" w:rsidRPr="00193FC2" w:rsidRDefault="00193FC2" w:rsidP="00193FC2">
      <w:pPr>
        <w:jc w:val="center"/>
        <w:rPr>
          <w:sz w:val="32"/>
          <w:szCs w:val="32"/>
        </w:rPr>
      </w:pPr>
      <w:bookmarkStart w:id="0" w:name="Anchor1"/>
      <w:bookmarkEnd w:id="0"/>
      <w:r w:rsidRPr="00193FC2">
        <w:rPr>
          <w:sz w:val="32"/>
          <w:szCs w:val="32"/>
          <w:rtl/>
        </w:rPr>
        <w:t>الطع</w:t>
      </w:r>
      <w:bookmarkStart w:id="1" w:name="_GoBack"/>
      <w:bookmarkEnd w:id="1"/>
      <w:r w:rsidRPr="00193FC2">
        <w:rPr>
          <w:sz w:val="32"/>
          <w:szCs w:val="32"/>
          <w:rtl/>
        </w:rPr>
        <w:t>ن رقم 792</w:t>
      </w:r>
    </w:p>
    <w:p w:rsidR="00193FC2" w:rsidRPr="00193FC2" w:rsidRDefault="00193FC2" w:rsidP="00193FC2">
      <w:pPr>
        <w:rPr>
          <w:sz w:val="32"/>
          <w:szCs w:val="32"/>
        </w:rPr>
      </w:pPr>
      <w:bookmarkStart w:id="2" w:name="Anchor5"/>
      <w:bookmarkEnd w:id="2"/>
      <w:r w:rsidRPr="00193FC2">
        <w:rPr>
          <w:sz w:val="32"/>
          <w:szCs w:val="32"/>
          <w:rtl/>
        </w:rPr>
        <w:t>هيئة المحكمة</w:t>
      </w:r>
      <w:r w:rsidRPr="00193FC2">
        <w:rPr>
          <w:sz w:val="32"/>
          <w:szCs w:val="32"/>
        </w:rPr>
        <w:t xml:space="preserve">: </w:t>
      </w:r>
      <w:r w:rsidRPr="00193FC2">
        <w:rPr>
          <w:sz w:val="32"/>
          <w:szCs w:val="32"/>
          <w:rtl/>
        </w:rPr>
        <w:t>برئاسة السيد المستشار يونس محمد الياسين وكيل المحكمة وعضوية السادة المستشارين عادل علي البحوه ومحمد أحمد رشدي وإبراهيم الضبع وهشام فراويله</w:t>
      </w:r>
    </w:p>
    <w:bookmarkStart w:id="3" w:name="Anchor25"/>
    <w:bookmarkEnd w:id="3"/>
    <w:p w:rsidR="00193FC2" w:rsidRPr="00193FC2" w:rsidRDefault="00193FC2" w:rsidP="00193FC2">
      <w:pPr>
        <w:rPr>
          <w:sz w:val="32"/>
          <w:szCs w:val="32"/>
        </w:rPr>
      </w:pPr>
      <w:r w:rsidRPr="00193FC2">
        <w:rPr>
          <w:sz w:val="32"/>
          <w:szCs w:val="32"/>
        </w:rPr>
        <w:fldChar w:fldCharType="begin"/>
      </w:r>
      <w:r w:rsidRPr="00193FC2">
        <w:rPr>
          <w:sz w:val="32"/>
          <w:szCs w:val="32"/>
        </w:rPr>
        <w:instrText xml:space="preserve"> HYPERLINK "http://www.law.gov.kw/KWT_CC-Ar/00_2014/00_%D8%A7%D9%84%D8%AF%D8%A7%D8%A6%D8%B1%D8%A9%20%D8%A7%D9%84%D8%AA%D8%AC%D8%A7%D8%B1%D9%8A%D8%A9/KWT-CC-Ar_2014-09-29_00792_Taan.html" \l "TM2014_792_1" </w:instrText>
      </w:r>
      <w:r w:rsidRPr="00193FC2">
        <w:rPr>
          <w:sz w:val="32"/>
          <w:szCs w:val="32"/>
        </w:rPr>
        <w:fldChar w:fldCharType="separate"/>
      </w:r>
      <w:r w:rsidRPr="00193FC2">
        <w:rPr>
          <w:rStyle w:val="Hyperlink"/>
          <w:sz w:val="32"/>
          <w:szCs w:val="32"/>
        </w:rPr>
        <w:t xml:space="preserve">1- </w:t>
      </w:r>
      <w:r w:rsidRPr="00193FC2">
        <w:rPr>
          <w:rStyle w:val="Hyperlink"/>
          <w:sz w:val="32"/>
          <w:szCs w:val="32"/>
          <w:rtl/>
        </w:rPr>
        <w:t>ان القاضي يستقل بتقدير موجبات اصدار الامر بالمنع من السفر وتقدير اسباب التظلم من ذلك الامر بغير معقب من محكمة التمييز</w:t>
      </w:r>
      <w:r w:rsidRPr="00193FC2">
        <w:rPr>
          <w:rStyle w:val="Hyperlink"/>
          <w:sz w:val="32"/>
          <w:szCs w:val="32"/>
        </w:rPr>
        <w:t>.</w:t>
      </w:r>
      <w:r w:rsidRPr="00193FC2">
        <w:rPr>
          <w:sz w:val="32"/>
          <w:szCs w:val="32"/>
        </w:rPr>
        <w:fldChar w:fldCharType="end"/>
      </w:r>
    </w:p>
    <w:bookmarkStart w:id="4" w:name="Anchor37"/>
    <w:bookmarkEnd w:id="4"/>
    <w:p w:rsidR="00193FC2" w:rsidRPr="00193FC2" w:rsidRDefault="00193FC2" w:rsidP="00193FC2">
      <w:pPr>
        <w:rPr>
          <w:sz w:val="32"/>
          <w:szCs w:val="32"/>
        </w:rPr>
      </w:pPr>
      <w:r w:rsidRPr="00193FC2">
        <w:rPr>
          <w:sz w:val="32"/>
          <w:szCs w:val="32"/>
        </w:rPr>
        <w:fldChar w:fldCharType="begin"/>
      </w:r>
      <w:r w:rsidRPr="00193FC2">
        <w:rPr>
          <w:sz w:val="32"/>
          <w:szCs w:val="32"/>
        </w:rPr>
        <w:instrText xml:space="preserve"> HYPERLINK "http://www.law.gov.kw/KWT_CC-Ar/00_2014/00_%D8%A7%D9%84%D8%AF%D8%A7%D8%A6%D8%B1%D8%A9%20%D8%A7%D9%84%D8%AA%D8%AC%D8%A7%D8%B1%D9%8A%D8%A9/KWT-CC-Ar_2014-09-29_00792_Taan.html" \l "TM2014_792_2" </w:instrText>
      </w:r>
      <w:r w:rsidRPr="00193FC2">
        <w:rPr>
          <w:sz w:val="32"/>
          <w:szCs w:val="32"/>
        </w:rPr>
        <w:fldChar w:fldCharType="separate"/>
      </w:r>
      <w:r w:rsidRPr="00193FC2">
        <w:rPr>
          <w:rStyle w:val="Hyperlink"/>
          <w:sz w:val="32"/>
          <w:szCs w:val="32"/>
        </w:rPr>
        <w:t xml:space="preserve">2- </w:t>
      </w:r>
      <w:r w:rsidRPr="00193FC2">
        <w:rPr>
          <w:rStyle w:val="Hyperlink"/>
          <w:sz w:val="32"/>
          <w:szCs w:val="32"/>
          <w:rtl/>
        </w:rPr>
        <w:t>لا يجوز الاستعاضة عن الاجراء بأي اجراء آخر متى رتب القانون بدء سريان ميعاد معين على اجراء معين</w:t>
      </w:r>
      <w:r w:rsidRPr="00193FC2">
        <w:rPr>
          <w:rStyle w:val="Hyperlink"/>
          <w:sz w:val="32"/>
          <w:szCs w:val="32"/>
        </w:rPr>
        <w:t>.</w:t>
      </w:r>
      <w:r w:rsidRPr="00193FC2">
        <w:rPr>
          <w:sz w:val="32"/>
          <w:szCs w:val="32"/>
        </w:rPr>
        <w:fldChar w:fldCharType="end"/>
      </w:r>
    </w:p>
    <w:bookmarkStart w:id="5" w:name="Anchor48"/>
    <w:bookmarkEnd w:id="5"/>
    <w:p w:rsidR="00193FC2" w:rsidRPr="00193FC2" w:rsidRDefault="00193FC2" w:rsidP="00193FC2">
      <w:pPr>
        <w:rPr>
          <w:sz w:val="32"/>
          <w:szCs w:val="32"/>
        </w:rPr>
      </w:pPr>
      <w:r w:rsidRPr="00193FC2">
        <w:rPr>
          <w:sz w:val="32"/>
          <w:szCs w:val="32"/>
        </w:rPr>
        <w:fldChar w:fldCharType="begin"/>
      </w:r>
      <w:r w:rsidRPr="00193FC2">
        <w:rPr>
          <w:sz w:val="32"/>
          <w:szCs w:val="32"/>
        </w:rPr>
        <w:instrText xml:space="preserve"> HYPERLINK "http://www.law.gov.kw/KWT_CC-Ar/00_2014/00_%D8%A7%D9%84%D8%AF%D8%A7%D8%A6%D8%B1%D8%A9%20%D8%A7%D9%84%D8%AA%D8%AC%D8%A7%D8%B1%D9%8A%D8%A9/KWT-CC-Ar_2014-09-29_00792_Taan.html" \l "TM2014_792_3" </w:instrText>
      </w:r>
      <w:r w:rsidRPr="00193FC2">
        <w:rPr>
          <w:sz w:val="32"/>
          <w:szCs w:val="32"/>
        </w:rPr>
        <w:fldChar w:fldCharType="separate"/>
      </w:r>
      <w:r w:rsidRPr="00193FC2">
        <w:rPr>
          <w:rStyle w:val="Hyperlink"/>
          <w:sz w:val="32"/>
          <w:szCs w:val="32"/>
        </w:rPr>
        <w:t xml:space="preserve">3- </w:t>
      </w:r>
      <w:r w:rsidRPr="00193FC2">
        <w:rPr>
          <w:rStyle w:val="Hyperlink"/>
          <w:sz w:val="32"/>
          <w:szCs w:val="32"/>
          <w:rtl/>
        </w:rPr>
        <w:t>ان الحكم المطعون فيه قضى بإلغاء امر المنع من السفر كون الشركة الطاعنة لم تقدم الدليل على قدرة المطعون ضده الاول على الوفاء وقيام اسباب جدية تدعو الى مظنة فراره من الدين وان امتلاكه لرخصة تجارية لا تدل على ملاءته</w:t>
      </w:r>
      <w:r w:rsidRPr="00193FC2">
        <w:rPr>
          <w:rStyle w:val="Hyperlink"/>
          <w:sz w:val="32"/>
          <w:szCs w:val="32"/>
        </w:rPr>
        <w:t>.</w:t>
      </w:r>
      <w:r w:rsidRPr="00193FC2">
        <w:rPr>
          <w:sz w:val="32"/>
          <w:szCs w:val="32"/>
        </w:rPr>
        <w:fldChar w:fldCharType="end"/>
      </w:r>
      <w:r w:rsidRPr="00193FC2">
        <w:rPr>
          <w:sz w:val="32"/>
          <w:szCs w:val="32"/>
        </w:rPr>
        <w:br/>
      </w:r>
      <w:r w:rsidRPr="00193FC2">
        <w:rPr>
          <w:sz w:val="32"/>
          <w:szCs w:val="32"/>
        </w:rPr>
        <w:br/>
      </w:r>
      <w:r w:rsidRPr="00193FC2">
        <w:rPr>
          <w:sz w:val="32"/>
          <w:szCs w:val="32"/>
          <w:u w:val="single"/>
          <w:rtl/>
        </w:rPr>
        <w:t>ملاحظة</w:t>
      </w:r>
      <w:r w:rsidRPr="00193FC2">
        <w:rPr>
          <w:sz w:val="32"/>
          <w:szCs w:val="32"/>
          <w:u w:val="single"/>
        </w:rPr>
        <w:t xml:space="preserve"> :</w:t>
      </w:r>
      <w:r w:rsidRPr="00193FC2">
        <w:rPr>
          <w:sz w:val="32"/>
          <w:szCs w:val="32"/>
        </w:rPr>
        <w:br/>
      </w:r>
      <w:r w:rsidRPr="00193FC2">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193FC2" w:rsidRPr="00193FC2" w:rsidRDefault="00193FC2" w:rsidP="00193FC2">
      <w:pPr>
        <w:rPr>
          <w:sz w:val="32"/>
          <w:szCs w:val="32"/>
        </w:rPr>
      </w:pPr>
      <w:bookmarkStart w:id="6" w:name="Anchor70"/>
      <w:bookmarkEnd w:id="6"/>
      <w:r w:rsidRPr="00193FC2">
        <w:rPr>
          <w:b/>
          <w:bCs/>
          <w:sz w:val="32"/>
          <w:szCs w:val="32"/>
          <w:rtl/>
        </w:rPr>
        <w:t>المحكمة</w:t>
      </w:r>
    </w:p>
    <w:p w:rsidR="00193FC2" w:rsidRPr="00193FC2" w:rsidRDefault="00193FC2" w:rsidP="00193FC2">
      <w:pPr>
        <w:rPr>
          <w:sz w:val="32"/>
          <w:szCs w:val="32"/>
        </w:rPr>
      </w:pPr>
      <w:bookmarkStart w:id="7" w:name="Anchor71"/>
      <w:bookmarkEnd w:id="7"/>
      <w:r w:rsidRPr="00193FC2">
        <w:rPr>
          <w:sz w:val="32"/>
          <w:szCs w:val="32"/>
          <w:rtl/>
        </w:rPr>
        <w:t>بعد الاطلاع على الأوراق، والمداولة</w:t>
      </w:r>
      <w:r w:rsidRPr="00193FC2">
        <w:rPr>
          <w:sz w:val="32"/>
          <w:szCs w:val="32"/>
        </w:rPr>
        <w:t>.</w:t>
      </w:r>
    </w:p>
    <w:p w:rsidR="00193FC2" w:rsidRPr="00193FC2" w:rsidRDefault="00193FC2" w:rsidP="00193FC2">
      <w:pPr>
        <w:rPr>
          <w:sz w:val="32"/>
          <w:szCs w:val="32"/>
        </w:rPr>
      </w:pPr>
      <w:bookmarkStart w:id="8" w:name="Anchor75"/>
      <w:bookmarkStart w:id="9" w:name="TM2014_792_1"/>
      <w:bookmarkEnd w:id="8"/>
      <w:bookmarkEnd w:id="9"/>
      <w:r w:rsidRPr="00193FC2">
        <w:rPr>
          <w:b/>
          <w:bCs/>
          <w:sz w:val="32"/>
          <w:szCs w:val="32"/>
          <w:rtl/>
        </w:rPr>
        <w:t>لما كان تقدير موجبات إصدار الأمر بالمنع من السفر وتقدير أسباب التظلم من ذلك الأمر هو من الأمور الموضوعية التي يستقل بها القاضي الذي يطلب منه إصدار الأمر ومن بعده المحكمة التي يرفع إليها التظلم بغير معقب من محكمة التمييز ما دام قد أقيم على أسباب سائغة تكفي لحمله</w:t>
      </w:r>
    </w:p>
    <w:p w:rsidR="00193FC2" w:rsidRPr="00193FC2" w:rsidRDefault="00193FC2" w:rsidP="00193FC2">
      <w:pPr>
        <w:rPr>
          <w:sz w:val="32"/>
          <w:szCs w:val="32"/>
        </w:rPr>
      </w:pPr>
      <w:bookmarkStart w:id="10" w:name="Anchor100"/>
      <w:bookmarkStart w:id="11" w:name="TM2014_792_2"/>
      <w:bookmarkEnd w:id="10"/>
      <w:bookmarkEnd w:id="11"/>
      <w:r w:rsidRPr="00193FC2">
        <w:rPr>
          <w:b/>
          <w:bCs/>
          <w:sz w:val="32"/>
          <w:szCs w:val="32"/>
          <w:rtl/>
        </w:rPr>
        <w:t>وأنه متى رتب القانون بدء سريان ميعاد معين على إجراء معين فإنه لا يجوز الاستعاضة عن هذا الإجراء بأي إجراء أخر فلا يجزي عن اعلان الحكم الذي ينفتح به ميعاد الطعن ثبوت اطلاع من يراد إعلانه على الحكم أو علمه به بأي طريق آخر ولو كان ذلك بشكل قاطع</w:t>
      </w:r>
      <w:r w:rsidRPr="00193FC2">
        <w:rPr>
          <w:b/>
          <w:bCs/>
          <w:sz w:val="32"/>
          <w:szCs w:val="32"/>
        </w:rPr>
        <w:t>.</w:t>
      </w:r>
      <w:r w:rsidRPr="00193FC2">
        <w:rPr>
          <w:sz w:val="32"/>
          <w:szCs w:val="32"/>
        </w:rPr>
        <w:t xml:space="preserve"> </w:t>
      </w:r>
      <w:r w:rsidRPr="00193FC2">
        <w:rPr>
          <w:sz w:val="32"/>
          <w:szCs w:val="32"/>
          <w:rtl/>
        </w:rPr>
        <w:t xml:space="preserve">لما كان ذلك </w:t>
      </w:r>
      <w:bookmarkStart w:id="12" w:name="TM2014_792_3"/>
      <w:bookmarkEnd w:id="12"/>
      <w:r w:rsidRPr="00193FC2">
        <w:rPr>
          <w:b/>
          <w:bCs/>
          <w:sz w:val="32"/>
          <w:szCs w:val="32"/>
          <w:rtl/>
        </w:rPr>
        <w:t>وكان الحكم المطعون فيه قد رفض الدفع المبدى من الطاعنة بعدم قبول التظلم لرفعه بعد الميعاد لخلو الأوراق مما يفيد اعلان المطعون ضده الأول بالأمر وأنه لا يغني عن ذلك علم الأخير به</w:t>
      </w:r>
      <w:r w:rsidRPr="00193FC2">
        <w:rPr>
          <w:b/>
          <w:bCs/>
          <w:sz w:val="32"/>
          <w:szCs w:val="32"/>
        </w:rPr>
        <w:t xml:space="preserve"> . </w:t>
      </w:r>
      <w:r w:rsidRPr="00193FC2">
        <w:rPr>
          <w:b/>
          <w:bCs/>
          <w:sz w:val="32"/>
          <w:szCs w:val="32"/>
          <w:rtl/>
        </w:rPr>
        <w:t xml:space="preserve">كما قضى بتأييد الحكم الابتدائي بإلغاء أمر المنع من السفر على ما خلص إليه من </w:t>
      </w:r>
      <w:r w:rsidRPr="00193FC2">
        <w:rPr>
          <w:b/>
          <w:bCs/>
          <w:sz w:val="32"/>
          <w:szCs w:val="32"/>
          <w:rtl/>
        </w:rPr>
        <w:lastRenderedPageBreak/>
        <w:t xml:space="preserve">أن الشركة الطاعنة لم تقدم الدليل على قدرة المطعون ضده الأول ( المدين </w:t>
      </w:r>
      <w:r w:rsidRPr="00193FC2">
        <w:rPr>
          <w:b/>
          <w:bCs/>
          <w:sz w:val="32"/>
          <w:szCs w:val="32"/>
        </w:rPr>
        <w:t xml:space="preserve">) </w:t>
      </w:r>
      <w:r w:rsidRPr="00193FC2">
        <w:rPr>
          <w:b/>
          <w:bCs/>
          <w:sz w:val="32"/>
          <w:szCs w:val="32"/>
          <w:rtl/>
        </w:rPr>
        <w:t xml:space="preserve">على الوفاء وقيام أسباب جدية تدعو الي مظنة فراره من الدين وأن امتلاكه لرخصة تجارية لا تدل على ملاءته فضلاً عن أنه كويتي الجنسية ورب اسرة بما تنتفي معه مظنة الفرار خارج البلاد وكان هذا الاستخلاص سائغاً وله أصله الثابت بالأوراق ويؤدي إلي النتيجة التي انتهى إليها بما يكفي لحمله </w:t>
      </w:r>
      <w:r w:rsidRPr="00193FC2">
        <w:rPr>
          <w:sz w:val="32"/>
          <w:szCs w:val="32"/>
          <w:rtl/>
        </w:rPr>
        <w:t>ومن ثم فإن نعي الطاعنة بأسباب الطعن والتي تدور حول تعيب الحكم في هذا الاستخلاص لا يعدو أن يكون جدلاً موضوعياً فيما تستقل محكمة الموضوع بتقديره مما لا يجوز إثارته أمام محكمة التمييز ويضحى الطعن وقد أقيم على خلاف المادة 152 من قانون المرافعات يتعين معه التقرير بعدم قبوله عملاً بالمادة 154/5 من ذات القانون</w:t>
      </w:r>
      <w:r w:rsidRPr="00193FC2">
        <w:rPr>
          <w:sz w:val="32"/>
          <w:szCs w:val="32"/>
        </w:rPr>
        <w:t>.</w:t>
      </w:r>
    </w:p>
    <w:p w:rsidR="00193FC2" w:rsidRPr="00193FC2" w:rsidRDefault="00193FC2" w:rsidP="00193FC2">
      <w:pPr>
        <w:rPr>
          <w:sz w:val="32"/>
          <w:szCs w:val="32"/>
        </w:rPr>
      </w:pPr>
      <w:bookmarkStart w:id="13" w:name="Anchor208"/>
      <w:bookmarkEnd w:id="13"/>
      <w:r w:rsidRPr="00193FC2">
        <w:rPr>
          <w:sz w:val="32"/>
          <w:szCs w:val="32"/>
          <w:rtl/>
        </w:rPr>
        <w:t>لذلك</w:t>
      </w:r>
    </w:p>
    <w:p w:rsidR="00193FC2" w:rsidRPr="00193FC2" w:rsidRDefault="00193FC2" w:rsidP="00193FC2">
      <w:pPr>
        <w:rPr>
          <w:sz w:val="32"/>
          <w:szCs w:val="32"/>
        </w:rPr>
      </w:pPr>
      <w:bookmarkStart w:id="14" w:name="Anchor209"/>
      <w:bookmarkEnd w:id="14"/>
      <w:r w:rsidRPr="00193FC2">
        <w:rPr>
          <w:sz w:val="32"/>
          <w:szCs w:val="32"/>
          <w:rtl/>
        </w:rPr>
        <w:t xml:space="preserve">قررت المحكمة </w:t>
      </w:r>
      <w:r w:rsidRPr="00193FC2">
        <w:rPr>
          <w:sz w:val="32"/>
          <w:szCs w:val="32"/>
        </w:rPr>
        <w:t xml:space="preserve">– </w:t>
      </w:r>
      <w:r w:rsidRPr="00193FC2">
        <w:rPr>
          <w:sz w:val="32"/>
          <w:szCs w:val="32"/>
          <w:rtl/>
        </w:rPr>
        <w:t>في غرفة المشورة</w:t>
      </w:r>
      <w:r w:rsidRPr="00193FC2">
        <w:rPr>
          <w:sz w:val="32"/>
          <w:szCs w:val="32"/>
        </w:rPr>
        <w:t xml:space="preserve">- </w:t>
      </w:r>
      <w:r w:rsidRPr="00193FC2">
        <w:rPr>
          <w:sz w:val="32"/>
          <w:szCs w:val="32"/>
          <w:rtl/>
        </w:rPr>
        <w:t>عدم قبول الطعن وألزمت الطاعنة المصروفات مع مصادرة الكفالة</w:t>
      </w:r>
      <w:r w:rsidRPr="00193FC2">
        <w:rPr>
          <w:sz w:val="32"/>
          <w:szCs w:val="32"/>
        </w:rPr>
        <w:t>.</w:t>
      </w:r>
    </w:p>
    <w:p w:rsidR="00193FC2" w:rsidRPr="00193FC2" w:rsidRDefault="00193FC2" w:rsidP="00193FC2">
      <w:pPr>
        <w:rPr>
          <w:sz w:val="32"/>
          <w:szCs w:val="32"/>
        </w:rPr>
      </w:pPr>
    </w:p>
    <w:p w:rsidR="00193FC2" w:rsidRPr="00193FC2" w:rsidRDefault="00193FC2" w:rsidP="00193FC2">
      <w:pPr>
        <w:rPr>
          <w:sz w:val="32"/>
          <w:szCs w:val="32"/>
        </w:rPr>
      </w:pPr>
      <w:bookmarkStart w:id="15" w:name="Anchor220"/>
      <w:bookmarkEnd w:id="15"/>
      <w:r w:rsidRPr="00193FC2">
        <w:rPr>
          <w:sz w:val="32"/>
          <w:szCs w:val="32"/>
        </w:rPr>
        <w:t>* * *</w:t>
      </w:r>
    </w:p>
    <w:p w:rsidR="008C2BA0" w:rsidRPr="00193FC2" w:rsidRDefault="008C2BA0">
      <w:pPr>
        <w:rPr>
          <w:sz w:val="32"/>
          <w:szCs w:val="32"/>
        </w:rPr>
      </w:pPr>
    </w:p>
    <w:sectPr w:rsidR="008C2BA0" w:rsidRPr="00193F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F2"/>
    <w:rsid w:val="0003272B"/>
    <w:rsid w:val="00193FC2"/>
    <w:rsid w:val="008C2BA0"/>
    <w:rsid w:val="00C83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F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F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54702">
      <w:bodyDiv w:val="1"/>
      <w:marLeft w:val="0"/>
      <w:marRight w:val="0"/>
      <w:marTop w:val="0"/>
      <w:marBottom w:val="0"/>
      <w:divBdr>
        <w:top w:val="none" w:sz="0" w:space="0" w:color="auto"/>
        <w:left w:val="none" w:sz="0" w:space="0" w:color="auto"/>
        <w:bottom w:val="none" w:sz="0" w:space="0" w:color="auto"/>
        <w:right w:val="none" w:sz="0" w:space="0" w:color="auto"/>
      </w:divBdr>
      <w:divsChild>
        <w:div w:id="563297740">
          <w:marLeft w:val="0"/>
          <w:marRight w:val="0"/>
          <w:marTop w:val="0"/>
          <w:marBottom w:val="0"/>
          <w:divBdr>
            <w:top w:val="none" w:sz="0" w:space="0" w:color="auto"/>
            <w:left w:val="none" w:sz="0" w:space="0" w:color="auto"/>
            <w:bottom w:val="none" w:sz="0" w:space="0" w:color="auto"/>
            <w:right w:val="none" w:sz="0" w:space="0" w:color="auto"/>
          </w:divBdr>
        </w:div>
        <w:div w:id="1669095407">
          <w:marLeft w:val="0"/>
          <w:marRight w:val="0"/>
          <w:marTop w:val="0"/>
          <w:marBottom w:val="0"/>
          <w:divBdr>
            <w:top w:val="none" w:sz="0" w:space="0" w:color="auto"/>
            <w:left w:val="none" w:sz="0" w:space="0" w:color="auto"/>
            <w:bottom w:val="none" w:sz="0" w:space="0" w:color="auto"/>
            <w:right w:val="none" w:sz="0" w:space="0" w:color="auto"/>
          </w:divBdr>
        </w:div>
        <w:div w:id="2060087197">
          <w:marLeft w:val="0"/>
          <w:marRight w:val="0"/>
          <w:marTop w:val="0"/>
          <w:marBottom w:val="0"/>
          <w:divBdr>
            <w:top w:val="none" w:sz="0" w:space="0" w:color="auto"/>
            <w:left w:val="none" w:sz="0" w:space="0" w:color="auto"/>
            <w:bottom w:val="none" w:sz="0" w:space="0" w:color="auto"/>
            <w:right w:val="none" w:sz="0" w:space="0" w:color="auto"/>
          </w:divBdr>
        </w:div>
        <w:div w:id="1931891608">
          <w:marLeft w:val="0"/>
          <w:marRight w:val="0"/>
          <w:marTop w:val="0"/>
          <w:marBottom w:val="0"/>
          <w:divBdr>
            <w:top w:val="none" w:sz="0" w:space="0" w:color="auto"/>
            <w:left w:val="none" w:sz="0" w:space="0" w:color="auto"/>
            <w:bottom w:val="none" w:sz="0" w:space="0" w:color="auto"/>
            <w:right w:val="none" w:sz="0" w:space="0" w:color="auto"/>
          </w:divBdr>
        </w:div>
        <w:div w:id="52044792">
          <w:marLeft w:val="0"/>
          <w:marRight w:val="0"/>
          <w:marTop w:val="0"/>
          <w:marBottom w:val="0"/>
          <w:divBdr>
            <w:top w:val="none" w:sz="0" w:space="0" w:color="auto"/>
            <w:left w:val="none" w:sz="0" w:space="0" w:color="auto"/>
            <w:bottom w:val="none" w:sz="0" w:space="0" w:color="auto"/>
            <w:right w:val="none" w:sz="0" w:space="0" w:color="auto"/>
          </w:divBdr>
        </w:div>
        <w:div w:id="1695571678">
          <w:marLeft w:val="0"/>
          <w:marRight w:val="0"/>
          <w:marTop w:val="0"/>
          <w:marBottom w:val="0"/>
          <w:divBdr>
            <w:top w:val="none" w:sz="0" w:space="0" w:color="auto"/>
            <w:left w:val="none" w:sz="0" w:space="0" w:color="auto"/>
            <w:bottom w:val="none" w:sz="0" w:space="0" w:color="auto"/>
            <w:right w:val="none" w:sz="0" w:space="0" w:color="auto"/>
          </w:divBdr>
        </w:div>
        <w:div w:id="310719422">
          <w:marLeft w:val="0"/>
          <w:marRight w:val="0"/>
          <w:marTop w:val="0"/>
          <w:marBottom w:val="0"/>
          <w:divBdr>
            <w:top w:val="none" w:sz="0" w:space="0" w:color="auto"/>
            <w:left w:val="none" w:sz="0" w:space="0" w:color="auto"/>
            <w:bottom w:val="none" w:sz="0" w:space="0" w:color="auto"/>
            <w:right w:val="none" w:sz="0" w:space="0" w:color="auto"/>
          </w:divBdr>
        </w:div>
        <w:div w:id="495809379">
          <w:marLeft w:val="0"/>
          <w:marRight w:val="0"/>
          <w:marTop w:val="0"/>
          <w:marBottom w:val="0"/>
          <w:divBdr>
            <w:top w:val="none" w:sz="0" w:space="0" w:color="auto"/>
            <w:left w:val="none" w:sz="0" w:space="0" w:color="auto"/>
            <w:bottom w:val="none" w:sz="0" w:space="0" w:color="auto"/>
            <w:right w:val="none" w:sz="0" w:space="0" w:color="auto"/>
          </w:divBdr>
        </w:div>
        <w:div w:id="1346588216">
          <w:marLeft w:val="0"/>
          <w:marRight w:val="0"/>
          <w:marTop w:val="0"/>
          <w:marBottom w:val="0"/>
          <w:divBdr>
            <w:top w:val="none" w:sz="0" w:space="0" w:color="auto"/>
            <w:left w:val="none" w:sz="0" w:space="0" w:color="auto"/>
            <w:bottom w:val="none" w:sz="0" w:space="0" w:color="auto"/>
            <w:right w:val="none" w:sz="0" w:space="0" w:color="auto"/>
          </w:divBdr>
        </w:div>
        <w:div w:id="1669751352">
          <w:marLeft w:val="0"/>
          <w:marRight w:val="0"/>
          <w:marTop w:val="0"/>
          <w:marBottom w:val="0"/>
          <w:divBdr>
            <w:top w:val="none" w:sz="0" w:space="0" w:color="auto"/>
            <w:left w:val="none" w:sz="0" w:space="0" w:color="auto"/>
            <w:bottom w:val="none" w:sz="0" w:space="0" w:color="auto"/>
            <w:right w:val="none" w:sz="0" w:space="0" w:color="auto"/>
          </w:divBdr>
        </w:div>
        <w:div w:id="835537416">
          <w:marLeft w:val="0"/>
          <w:marRight w:val="0"/>
          <w:marTop w:val="0"/>
          <w:marBottom w:val="0"/>
          <w:divBdr>
            <w:top w:val="none" w:sz="0" w:space="0" w:color="auto"/>
            <w:left w:val="none" w:sz="0" w:space="0" w:color="auto"/>
            <w:bottom w:val="none" w:sz="0" w:space="0" w:color="auto"/>
            <w:right w:val="none" w:sz="0" w:space="0" w:color="auto"/>
          </w:divBdr>
        </w:div>
        <w:div w:id="869992249">
          <w:marLeft w:val="0"/>
          <w:marRight w:val="0"/>
          <w:marTop w:val="0"/>
          <w:marBottom w:val="0"/>
          <w:divBdr>
            <w:top w:val="none" w:sz="0" w:space="0" w:color="auto"/>
            <w:left w:val="none" w:sz="0" w:space="0" w:color="auto"/>
            <w:bottom w:val="none" w:sz="0" w:space="0" w:color="auto"/>
            <w:right w:val="none" w:sz="0" w:space="0" w:color="auto"/>
          </w:divBdr>
        </w:div>
      </w:divsChild>
    </w:div>
    <w:div w:id="791172923">
      <w:bodyDiv w:val="1"/>
      <w:marLeft w:val="0"/>
      <w:marRight w:val="0"/>
      <w:marTop w:val="0"/>
      <w:marBottom w:val="0"/>
      <w:divBdr>
        <w:top w:val="none" w:sz="0" w:space="0" w:color="auto"/>
        <w:left w:val="none" w:sz="0" w:space="0" w:color="auto"/>
        <w:bottom w:val="none" w:sz="0" w:space="0" w:color="auto"/>
        <w:right w:val="none" w:sz="0" w:space="0" w:color="auto"/>
      </w:divBdr>
      <w:divsChild>
        <w:div w:id="70585220">
          <w:marLeft w:val="0"/>
          <w:marRight w:val="0"/>
          <w:marTop w:val="0"/>
          <w:marBottom w:val="0"/>
          <w:divBdr>
            <w:top w:val="none" w:sz="0" w:space="0" w:color="auto"/>
            <w:left w:val="none" w:sz="0" w:space="0" w:color="auto"/>
            <w:bottom w:val="none" w:sz="0" w:space="0" w:color="auto"/>
            <w:right w:val="none" w:sz="0" w:space="0" w:color="auto"/>
          </w:divBdr>
        </w:div>
        <w:div w:id="1350060529">
          <w:marLeft w:val="0"/>
          <w:marRight w:val="0"/>
          <w:marTop w:val="0"/>
          <w:marBottom w:val="0"/>
          <w:divBdr>
            <w:top w:val="none" w:sz="0" w:space="0" w:color="auto"/>
            <w:left w:val="none" w:sz="0" w:space="0" w:color="auto"/>
            <w:bottom w:val="none" w:sz="0" w:space="0" w:color="auto"/>
            <w:right w:val="none" w:sz="0" w:space="0" w:color="auto"/>
          </w:divBdr>
        </w:div>
        <w:div w:id="1205826769">
          <w:marLeft w:val="0"/>
          <w:marRight w:val="0"/>
          <w:marTop w:val="0"/>
          <w:marBottom w:val="0"/>
          <w:divBdr>
            <w:top w:val="none" w:sz="0" w:space="0" w:color="auto"/>
            <w:left w:val="none" w:sz="0" w:space="0" w:color="auto"/>
            <w:bottom w:val="none" w:sz="0" w:space="0" w:color="auto"/>
            <w:right w:val="none" w:sz="0" w:space="0" w:color="auto"/>
          </w:divBdr>
        </w:div>
        <w:div w:id="518157641">
          <w:marLeft w:val="0"/>
          <w:marRight w:val="0"/>
          <w:marTop w:val="0"/>
          <w:marBottom w:val="0"/>
          <w:divBdr>
            <w:top w:val="none" w:sz="0" w:space="0" w:color="auto"/>
            <w:left w:val="none" w:sz="0" w:space="0" w:color="auto"/>
            <w:bottom w:val="none" w:sz="0" w:space="0" w:color="auto"/>
            <w:right w:val="none" w:sz="0" w:space="0" w:color="auto"/>
          </w:divBdr>
        </w:div>
        <w:div w:id="741177828">
          <w:marLeft w:val="0"/>
          <w:marRight w:val="0"/>
          <w:marTop w:val="0"/>
          <w:marBottom w:val="0"/>
          <w:divBdr>
            <w:top w:val="none" w:sz="0" w:space="0" w:color="auto"/>
            <w:left w:val="none" w:sz="0" w:space="0" w:color="auto"/>
            <w:bottom w:val="none" w:sz="0" w:space="0" w:color="auto"/>
            <w:right w:val="none" w:sz="0" w:space="0" w:color="auto"/>
          </w:divBdr>
        </w:div>
        <w:div w:id="1514146014">
          <w:marLeft w:val="0"/>
          <w:marRight w:val="0"/>
          <w:marTop w:val="0"/>
          <w:marBottom w:val="0"/>
          <w:divBdr>
            <w:top w:val="none" w:sz="0" w:space="0" w:color="auto"/>
            <w:left w:val="none" w:sz="0" w:space="0" w:color="auto"/>
            <w:bottom w:val="none" w:sz="0" w:space="0" w:color="auto"/>
            <w:right w:val="none" w:sz="0" w:space="0" w:color="auto"/>
          </w:divBdr>
        </w:div>
        <w:div w:id="639768496">
          <w:marLeft w:val="0"/>
          <w:marRight w:val="0"/>
          <w:marTop w:val="0"/>
          <w:marBottom w:val="0"/>
          <w:divBdr>
            <w:top w:val="none" w:sz="0" w:space="0" w:color="auto"/>
            <w:left w:val="none" w:sz="0" w:space="0" w:color="auto"/>
            <w:bottom w:val="none" w:sz="0" w:space="0" w:color="auto"/>
            <w:right w:val="none" w:sz="0" w:space="0" w:color="auto"/>
          </w:divBdr>
        </w:div>
        <w:div w:id="936140428">
          <w:marLeft w:val="0"/>
          <w:marRight w:val="0"/>
          <w:marTop w:val="0"/>
          <w:marBottom w:val="0"/>
          <w:divBdr>
            <w:top w:val="none" w:sz="0" w:space="0" w:color="auto"/>
            <w:left w:val="none" w:sz="0" w:space="0" w:color="auto"/>
            <w:bottom w:val="none" w:sz="0" w:space="0" w:color="auto"/>
            <w:right w:val="none" w:sz="0" w:space="0" w:color="auto"/>
          </w:divBdr>
        </w:div>
        <w:div w:id="1171604202">
          <w:marLeft w:val="0"/>
          <w:marRight w:val="0"/>
          <w:marTop w:val="0"/>
          <w:marBottom w:val="0"/>
          <w:divBdr>
            <w:top w:val="none" w:sz="0" w:space="0" w:color="auto"/>
            <w:left w:val="none" w:sz="0" w:space="0" w:color="auto"/>
            <w:bottom w:val="none" w:sz="0" w:space="0" w:color="auto"/>
            <w:right w:val="none" w:sz="0" w:space="0" w:color="auto"/>
          </w:divBdr>
        </w:div>
        <w:div w:id="801506800">
          <w:marLeft w:val="0"/>
          <w:marRight w:val="0"/>
          <w:marTop w:val="0"/>
          <w:marBottom w:val="0"/>
          <w:divBdr>
            <w:top w:val="none" w:sz="0" w:space="0" w:color="auto"/>
            <w:left w:val="none" w:sz="0" w:space="0" w:color="auto"/>
            <w:bottom w:val="none" w:sz="0" w:space="0" w:color="auto"/>
            <w:right w:val="none" w:sz="0" w:space="0" w:color="auto"/>
          </w:divBdr>
        </w:div>
        <w:div w:id="1317302135">
          <w:marLeft w:val="0"/>
          <w:marRight w:val="0"/>
          <w:marTop w:val="0"/>
          <w:marBottom w:val="0"/>
          <w:divBdr>
            <w:top w:val="none" w:sz="0" w:space="0" w:color="auto"/>
            <w:left w:val="none" w:sz="0" w:space="0" w:color="auto"/>
            <w:bottom w:val="none" w:sz="0" w:space="0" w:color="auto"/>
            <w:right w:val="none" w:sz="0" w:space="0" w:color="auto"/>
          </w:divBdr>
        </w:div>
        <w:div w:id="157458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2020-04-26T11:38:00Z</dcterms:created>
  <dcterms:modified xsi:type="dcterms:W3CDTF">2020-04-26T11:38:00Z</dcterms:modified>
</cp:coreProperties>
</file>