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AE2" w:rsidRPr="003F6AE2" w:rsidRDefault="003F6AE2" w:rsidP="003F6AE2">
      <w:pPr>
        <w:jc w:val="center"/>
        <w:rPr>
          <w:sz w:val="32"/>
          <w:szCs w:val="32"/>
        </w:rPr>
      </w:pPr>
      <w:bookmarkStart w:id="0" w:name="Anchor1"/>
      <w:bookmarkEnd w:id="0"/>
      <w:r w:rsidRPr="003F6AE2">
        <w:rPr>
          <w:sz w:val="32"/>
          <w:szCs w:val="32"/>
          <w:rtl/>
        </w:rPr>
        <w:t>الطعن رقم 834 لسنة</w:t>
      </w:r>
      <w:bookmarkStart w:id="1" w:name="_GoBack"/>
      <w:bookmarkEnd w:id="1"/>
      <w:r w:rsidRPr="003F6AE2">
        <w:rPr>
          <w:sz w:val="32"/>
          <w:szCs w:val="32"/>
          <w:rtl/>
        </w:rPr>
        <w:t xml:space="preserve"> </w:t>
      </w:r>
      <w:r w:rsidRPr="003F6AE2">
        <w:rPr>
          <w:sz w:val="32"/>
          <w:szCs w:val="32"/>
        </w:rPr>
        <w:t>2012</w:t>
      </w:r>
    </w:p>
    <w:p w:rsidR="003F6AE2" w:rsidRPr="003F6AE2" w:rsidRDefault="003F6AE2" w:rsidP="003F6AE2">
      <w:pPr>
        <w:rPr>
          <w:sz w:val="32"/>
          <w:szCs w:val="32"/>
        </w:rPr>
      </w:pPr>
      <w:bookmarkStart w:id="2" w:name="Anchor8"/>
      <w:bookmarkEnd w:id="2"/>
      <w:r w:rsidRPr="003F6AE2">
        <w:rPr>
          <w:sz w:val="32"/>
          <w:szCs w:val="32"/>
          <w:rtl/>
        </w:rPr>
        <w:t>هيئة المحكمة</w:t>
      </w:r>
      <w:r w:rsidRPr="003F6AE2">
        <w:rPr>
          <w:sz w:val="32"/>
          <w:szCs w:val="32"/>
        </w:rPr>
        <w:t xml:space="preserve">: </w:t>
      </w:r>
      <w:r w:rsidRPr="003F6AE2">
        <w:rPr>
          <w:sz w:val="32"/>
          <w:szCs w:val="32"/>
          <w:rtl/>
        </w:rPr>
        <w:t>برئاسة السيد المستشار أنور على بورسلي وكيل المحكمة وعضوية السادة المستشارين زياد محمد غازي وأحمـد على راجح ومجدي محمد جاد فيصل وعبدالحميد حرحش</w:t>
      </w:r>
    </w:p>
    <w:bookmarkStart w:id="3" w:name="Anchor25"/>
    <w:bookmarkEnd w:id="3"/>
    <w:p w:rsidR="003F6AE2" w:rsidRPr="003F6AE2" w:rsidRDefault="003F6AE2" w:rsidP="003F6AE2">
      <w:pPr>
        <w:rPr>
          <w:sz w:val="32"/>
          <w:szCs w:val="32"/>
        </w:rPr>
      </w:pPr>
      <w:r w:rsidRPr="003F6AE2">
        <w:rPr>
          <w:sz w:val="32"/>
          <w:szCs w:val="32"/>
        </w:rPr>
        <w:fldChar w:fldCharType="begin"/>
      </w:r>
      <w:r w:rsidRPr="003F6AE2">
        <w:rPr>
          <w:sz w:val="32"/>
          <w:szCs w:val="32"/>
        </w:rPr>
        <w:instrText xml:space="preserve"> HYPERLINK "http://www.law.gov.kw/KWT_CC-Ar/00_2014/00_%D8%A7%D9%84%D8%AF%D8%A7%D8%A6%D8%B1%D8%A9%20%D8%A7%D9%84%D8%AA%D8%AC%D8%A7%D8%B1%D9%8A%D8%A9/KWT-CC-Ar_2014-04-23_00834_Taan.html" \l "TM2014_834_1" </w:instrText>
      </w:r>
      <w:r w:rsidRPr="003F6AE2">
        <w:rPr>
          <w:sz w:val="32"/>
          <w:szCs w:val="32"/>
        </w:rPr>
        <w:fldChar w:fldCharType="separate"/>
      </w:r>
      <w:r w:rsidRPr="003F6AE2">
        <w:rPr>
          <w:rStyle w:val="Hyperlink"/>
          <w:sz w:val="32"/>
          <w:szCs w:val="32"/>
        </w:rPr>
        <w:t xml:space="preserve">1 – </w:t>
      </w:r>
      <w:r w:rsidRPr="003F6AE2">
        <w:rPr>
          <w:rStyle w:val="Hyperlink"/>
          <w:sz w:val="32"/>
          <w:szCs w:val="32"/>
          <w:rtl/>
        </w:rPr>
        <w:t>ان العقد شريعة المتعاقدين ويجب تنفيذه طبقا لما يتضمنه من احكام وبطريقة تتفق مع ما يقتضيه حسن النية وشرف التعامل</w:t>
      </w:r>
      <w:r w:rsidRPr="003F6AE2">
        <w:rPr>
          <w:rStyle w:val="Hyperlink"/>
          <w:sz w:val="32"/>
          <w:szCs w:val="32"/>
        </w:rPr>
        <w:t>.</w:t>
      </w:r>
      <w:r w:rsidRPr="003F6AE2">
        <w:rPr>
          <w:sz w:val="32"/>
          <w:szCs w:val="32"/>
        </w:rPr>
        <w:fldChar w:fldCharType="end"/>
      </w:r>
    </w:p>
    <w:bookmarkStart w:id="4" w:name="Anchor41"/>
    <w:bookmarkEnd w:id="4"/>
    <w:p w:rsidR="003F6AE2" w:rsidRPr="003F6AE2" w:rsidRDefault="003F6AE2" w:rsidP="003F6AE2">
      <w:pPr>
        <w:rPr>
          <w:sz w:val="32"/>
          <w:szCs w:val="32"/>
        </w:rPr>
      </w:pPr>
      <w:r w:rsidRPr="003F6AE2">
        <w:rPr>
          <w:sz w:val="32"/>
          <w:szCs w:val="32"/>
        </w:rPr>
        <w:fldChar w:fldCharType="begin"/>
      </w:r>
      <w:r w:rsidRPr="003F6AE2">
        <w:rPr>
          <w:sz w:val="32"/>
          <w:szCs w:val="32"/>
        </w:rPr>
        <w:instrText xml:space="preserve"> HYPERLINK "http://www.law.gov.kw/KWT_CC-Ar/00_2014/00_%D8%A7%D9%84%D8%AF%D8%A7%D8%A6%D8%B1%D8%A9%20%D8%A7%D9%84%D8%AA%D8%AC%D8%A7%D8%B1%D9%8A%D8%A9/KWT-CC-Ar_2014-04-23_00834_Taan.html" \l "TM2014_834_2" </w:instrText>
      </w:r>
      <w:r w:rsidRPr="003F6AE2">
        <w:rPr>
          <w:sz w:val="32"/>
          <w:szCs w:val="32"/>
        </w:rPr>
        <w:fldChar w:fldCharType="separate"/>
      </w:r>
      <w:r w:rsidRPr="003F6AE2">
        <w:rPr>
          <w:rStyle w:val="Hyperlink"/>
          <w:sz w:val="32"/>
          <w:szCs w:val="32"/>
        </w:rPr>
        <w:t xml:space="preserve">2 – </w:t>
      </w:r>
      <w:r w:rsidRPr="003F6AE2">
        <w:rPr>
          <w:rStyle w:val="Hyperlink"/>
          <w:sz w:val="32"/>
          <w:szCs w:val="32"/>
          <w:rtl/>
        </w:rPr>
        <w:t>ان التزام الشركة المطعون ضدها في حالة وفاة العميل او عجزه الكلي الدائم اثناء التأمين بأن تدفع الى الطاعن مبلغ يعادل الرصيد المستحق وفقا لعقد القرض في تاريخ الوفاة او العجز الدائم يشمل مبلغ اصل القرض وعنصر الفوائد والرسوم المستحقة دون الفوائد الاتفاقية</w:t>
      </w:r>
      <w:r w:rsidRPr="003F6AE2">
        <w:rPr>
          <w:rStyle w:val="Hyperlink"/>
          <w:sz w:val="32"/>
          <w:szCs w:val="32"/>
        </w:rPr>
        <w:t>.</w:t>
      </w:r>
      <w:r w:rsidRPr="003F6AE2">
        <w:rPr>
          <w:sz w:val="32"/>
          <w:szCs w:val="32"/>
        </w:rPr>
        <w:fldChar w:fldCharType="end"/>
      </w:r>
    </w:p>
    <w:bookmarkStart w:id="5" w:name="Anchor66"/>
    <w:bookmarkEnd w:id="5"/>
    <w:p w:rsidR="003F6AE2" w:rsidRPr="003F6AE2" w:rsidRDefault="003F6AE2" w:rsidP="003F6AE2">
      <w:pPr>
        <w:rPr>
          <w:sz w:val="32"/>
          <w:szCs w:val="32"/>
        </w:rPr>
      </w:pPr>
      <w:r w:rsidRPr="003F6AE2">
        <w:rPr>
          <w:sz w:val="32"/>
          <w:szCs w:val="32"/>
        </w:rPr>
        <w:fldChar w:fldCharType="begin"/>
      </w:r>
      <w:r w:rsidRPr="003F6AE2">
        <w:rPr>
          <w:sz w:val="32"/>
          <w:szCs w:val="32"/>
        </w:rPr>
        <w:instrText xml:space="preserve"> HYPERLINK "http://www.law.gov.kw/KWT_CC-Ar/00_2014/00_%D8%A7%D9%84%D8%AF%D8%A7%D8%A6%D8%B1%D8%A9%20%D8%A7%D9%84%D8%AA%D8%AC%D8%A7%D8%B1%D9%8A%D8%A9/KWT-CC-Ar_2014-04-23_00834_Taan.html" \l "TM2014_834_3" </w:instrText>
      </w:r>
      <w:r w:rsidRPr="003F6AE2">
        <w:rPr>
          <w:sz w:val="32"/>
          <w:szCs w:val="32"/>
        </w:rPr>
        <w:fldChar w:fldCharType="separate"/>
      </w:r>
      <w:r w:rsidRPr="003F6AE2">
        <w:rPr>
          <w:rStyle w:val="Hyperlink"/>
          <w:sz w:val="32"/>
          <w:szCs w:val="32"/>
        </w:rPr>
        <w:t xml:space="preserve">3 – </w:t>
      </w:r>
      <w:r w:rsidRPr="003F6AE2">
        <w:rPr>
          <w:rStyle w:val="Hyperlink"/>
          <w:sz w:val="32"/>
          <w:szCs w:val="32"/>
          <w:rtl/>
        </w:rPr>
        <w:t>ان الاعمال المتعلقة بالتأمين بأنواعه المختلفة تعد اعمالاً تجارية بقطع النظر عن صفة القائم به او نيته</w:t>
      </w:r>
      <w:r w:rsidRPr="003F6AE2">
        <w:rPr>
          <w:rStyle w:val="Hyperlink"/>
          <w:sz w:val="32"/>
          <w:szCs w:val="32"/>
        </w:rPr>
        <w:t>.</w:t>
      </w:r>
      <w:r w:rsidRPr="003F6AE2">
        <w:rPr>
          <w:sz w:val="32"/>
          <w:szCs w:val="32"/>
        </w:rPr>
        <w:fldChar w:fldCharType="end"/>
      </w:r>
    </w:p>
    <w:bookmarkStart w:id="6" w:name="Anchor78"/>
    <w:bookmarkEnd w:id="6"/>
    <w:p w:rsidR="003F6AE2" w:rsidRPr="003F6AE2" w:rsidRDefault="003F6AE2" w:rsidP="003F6AE2">
      <w:pPr>
        <w:rPr>
          <w:sz w:val="32"/>
          <w:szCs w:val="32"/>
        </w:rPr>
      </w:pPr>
      <w:r w:rsidRPr="003F6AE2">
        <w:rPr>
          <w:sz w:val="32"/>
          <w:szCs w:val="32"/>
        </w:rPr>
        <w:fldChar w:fldCharType="begin"/>
      </w:r>
      <w:r w:rsidRPr="003F6AE2">
        <w:rPr>
          <w:sz w:val="32"/>
          <w:szCs w:val="32"/>
        </w:rPr>
        <w:instrText xml:space="preserve"> HYPERLINK "http://www.law.gov.kw/KWT_CC-Ar/00_2014/00_%D8%A7%D9%84%D8%AF%D8%A7%D8%A6%D8%B1%D8%A9%20%D8%A7%D9%84%D8%AA%D8%AC%D8%A7%D8%B1%D9%8A%D8%A9/KWT-CC-Ar_2014-04-23_00834_Taan.html" \l "TM2014_834_4" </w:instrText>
      </w:r>
      <w:r w:rsidRPr="003F6AE2">
        <w:rPr>
          <w:sz w:val="32"/>
          <w:szCs w:val="32"/>
        </w:rPr>
        <w:fldChar w:fldCharType="separate"/>
      </w:r>
      <w:r w:rsidRPr="003F6AE2">
        <w:rPr>
          <w:rStyle w:val="Hyperlink"/>
          <w:sz w:val="32"/>
          <w:szCs w:val="32"/>
        </w:rPr>
        <w:t xml:space="preserve">4 - </w:t>
      </w:r>
      <w:r w:rsidRPr="003F6AE2">
        <w:rPr>
          <w:rStyle w:val="Hyperlink"/>
          <w:sz w:val="32"/>
          <w:szCs w:val="32"/>
          <w:rtl/>
        </w:rPr>
        <w:t>ان عقد التأمين يعد عملا تجاريا تسري عليه احكام قانون التجارة من استحقاق فوائد قانونية 7</w:t>
      </w:r>
      <w:r w:rsidRPr="003F6AE2">
        <w:rPr>
          <w:rStyle w:val="Hyperlink"/>
          <w:sz w:val="32"/>
          <w:szCs w:val="32"/>
        </w:rPr>
        <w:t xml:space="preserve">% </w:t>
      </w:r>
      <w:r w:rsidRPr="003F6AE2">
        <w:rPr>
          <w:rStyle w:val="Hyperlink"/>
          <w:sz w:val="32"/>
          <w:szCs w:val="32"/>
          <w:rtl/>
        </w:rPr>
        <w:t>سنويا كتعويض عن التأخير في الوفاء بالالتزام التجاري الذي محله مبلغاً من النقود</w:t>
      </w:r>
      <w:r w:rsidRPr="003F6AE2">
        <w:rPr>
          <w:rStyle w:val="Hyperlink"/>
          <w:sz w:val="32"/>
          <w:szCs w:val="32"/>
        </w:rPr>
        <w:t>.</w:t>
      </w:r>
      <w:r w:rsidRPr="003F6AE2">
        <w:rPr>
          <w:sz w:val="32"/>
          <w:szCs w:val="32"/>
        </w:rPr>
        <w:fldChar w:fldCharType="end"/>
      </w:r>
    </w:p>
    <w:bookmarkStart w:id="7" w:name="Anchor95"/>
    <w:bookmarkEnd w:id="7"/>
    <w:p w:rsidR="003F6AE2" w:rsidRPr="003F6AE2" w:rsidRDefault="003F6AE2" w:rsidP="003F6AE2">
      <w:pPr>
        <w:rPr>
          <w:sz w:val="32"/>
          <w:szCs w:val="32"/>
        </w:rPr>
      </w:pPr>
      <w:r w:rsidRPr="003F6AE2">
        <w:rPr>
          <w:sz w:val="32"/>
          <w:szCs w:val="32"/>
        </w:rPr>
        <w:fldChar w:fldCharType="begin"/>
      </w:r>
      <w:r w:rsidRPr="003F6AE2">
        <w:rPr>
          <w:sz w:val="32"/>
          <w:szCs w:val="32"/>
        </w:rPr>
        <w:instrText xml:space="preserve"> HYPERLINK "http://www.law.gov.kw/KWT_CC-Ar/00_2014/00_%D8%A7%D9%84%D8%AF%D8%A7%D8%A6%D8%B1%D8%A9%20%D8%A7%D9%84%D8%AA%D8%AC%D8%A7%D8%B1%D9%8A%D8%A9/KWT-CC-Ar_2014-04-23_00834_Taan.html" \l "TM2014_834_5" </w:instrText>
      </w:r>
      <w:r w:rsidRPr="003F6AE2">
        <w:rPr>
          <w:sz w:val="32"/>
          <w:szCs w:val="32"/>
        </w:rPr>
        <w:fldChar w:fldCharType="separate"/>
      </w:r>
      <w:r w:rsidRPr="003F6AE2">
        <w:rPr>
          <w:rStyle w:val="Hyperlink"/>
          <w:sz w:val="32"/>
          <w:szCs w:val="32"/>
        </w:rPr>
        <w:t xml:space="preserve">5 – </w:t>
      </w:r>
      <w:r w:rsidRPr="003F6AE2">
        <w:rPr>
          <w:rStyle w:val="Hyperlink"/>
          <w:sz w:val="32"/>
          <w:szCs w:val="32"/>
          <w:rtl/>
        </w:rPr>
        <w:t>ان الحكم المطعون فيه معيبا بما يوجب الغاؤه لرفضه طلب البنك المستأنف الزام الشركة المستأنف ضدها بالفوائد القانونية بواقع 7% سنويا على اجمالي المقضي به</w:t>
      </w:r>
      <w:r w:rsidRPr="003F6AE2">
        <w:rPr>
          <w:rStyle w:val="Hyperlink"/>
          <w:sz w:val="32"/>
          <w:szCs w:val="32"/>
        </w:rPr>
        <w:t>.</w:t>
      </w:r>
      <w:r w:rsidRPr="003F6AE2">
        <w:rPr>
          <w:sz w:val="32"/>
          <w:szCs w:val="32"/>
        </w:rPr>
        <w:fldChar w:fldCharType="end"/>
      </w:r>
      <w:r w:rsidRPr="003F6AE2">
        <w:rPr>
          <w:sz w:val="32"/>
          <w:szCs w:val="32"/>
        </w:rPr>
        <w:br/>
      </w:r>
      <w:r w:rsidRPr="003F6AE2">
        <w:rPr>
          <w:sz w:val="32"/>
          <w:szCs w:val="32"/>
        </w:rPr>
        <w:br/>
      </w:r>
      <w:r w:rsidRPr="003F6AE2">
        <w:rPr>
          <w:sz w:val="32"/>
          <w:szCs w:val="32"/>
          <w:u w:val="single"/>
          <w:rtl/>
        </w:rPr>
        <w:t>ملاحظة</w:t>
      </w:r>
      <w:r w:rsidRPr="003F6AE2">
        <w:rPr>
          <w:sz w:val="32"/>
          <w:szCs w:val="32"/>
          <w:u w:val="single"/>
        </w:rPr>
        <w:t xml:space="preserve"> :</w:t>
      </w:r>
      <w:r w:rsidRPr="003F6AE2">
        <w:rPr>
          <w:sz w:val="32"/>
          <w:szCs w:val="32"/>
        </w:rPr>
        <w:br/>
      </w:r>
      <w:r w:rsidRPr="003F6AE2">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3F6AE2" w:rsidRPr="003F6AE2" w:rsidRDefault="003F6AE2" w:rsidP="003F6AE2">
      <w:pPr>
        <w:rPr>
          <w:sz w:val="32"/>
          <w:szCs w:val="32"/>
        </w:rPr>
      </w:pPr>
      <w:bookmarkStart w:id="8" w:name="Anchor112"/>
      <w:bookmarkEnd w:id="8"/>
      <w:r w:rsidRPr="003F6AE2">
        <w:rPr>
          <w:b/>
          <w:bCs/>
          <w:sz w:val="32"/>
          <w:szCs w:val="32"/>
          <w:rtl/>
        </w:rPr>
        <w:t>المحكمة</w:t>
      </w:r>
    </w:p>
    <w:p w:rsidR="003F6AE2" w:rsidRPr="003F6AE2" w:rsidRDefault="003F6AE2" w:rsidP="003F6AE2">
      <w:pPr>
        <w:rPr>
          <w:sz w:val="32"/>
          <w:szCs w:val="32"/>
        </w:rPr>
      </w:pPr>
      <w:bookmarkStart w:id="9" w:name="Anchor113"/>
      <w:bookmarkEnd w:id="9"/>
      <w:r w:rsidRPr="003F6AE2">
        <w:rPr>
          <w:sz w:val="32"/>
          <w:szCs w:val="32"/>
          <w:rtl/>
        </w:rPr>
        <w:t>بعد الاطلاع على الأوراق وسماع المرافعة وبعد المداولة</w:t>
      </w:r>
      <w:r w:rsidRPr="003F6AE2">
        <w:rPr>
          <w:sz w:val="32"/>
          <w:szCs w:val="32"/>
        </w:rPr>
        <w:t xml:space="preserve">. </w:t>
      </w:r>
    </w:p>
    <w:p w:rsidR="003F6AE2" w:rsidRPr="003F6AE2" w:rsidRDefault="003F6AE2" w:rsidP="003F6AE2">
      <w:pPr>
        <w:rPr>
          <w:sz w:val="32"/>
          <w:szCs w:val="32"/>
        </w:rPr>
      </w:pPr>
      <w:bookmarkStart w:id="10" w:name="Anchor121"/>
      <w:bookmarkEnd w:id="10"/>
      <w:r w:rsidRPr="003F6AE2">
        <w:rPr>
          <w:sz w:val="32"/>
          <w:szCs w:val="32"/>
          <w:rtl/>
        </w:rPr>
        <w:t>حيث إن الطعن استوفى أوضاعه الشكلية</w:t>
      </w:r>
      <w:r w:rsidRPr="003F6AE2">
        <w:rPr>
          <w:sz w:val="32"/>
          <w:szCs w:val="32"/>
        </w:rPr>
        <w:t>.</w:t>
      </w:r>
    </w:p>
    <w:p w:rsidR="003F6AE2" w:rsidRPr="003F6AE2" w:rsidRDefault="003F6AE2" w:rsidP="003F6AE2">
      <w:pPr>
        <w:rPr>
          <w:sz w:val="32"/>
          <w:szCs w:val="32"/>
        </w:rPr>
      </w:pPr>
      <w:bookmarkStart w:id="11" w:name="Anchor126"/>
      <w:bookmarkEnd w:id="11"/>
      <w:r w:rsidRPr="003F6AE2">
        <w:rPr>
          <w:sz w:val="32"/>
          <w:szCs w:val="32"/>
          <w:rtl/>
        </w:rPr>
        <w:t>حيث إن الوقائع</w:t>
      </w:r>
      <w:r w:rsidRPr="003F6AE2">
        <w:rPr>
          <w:sz w:val="32"/>
          <w:szCs w:val="32"/>
        </w:rPr>
        <w:t xml:space="preserve">- </w:t>
      </w:r>
      <w:r w:rsidRPr="003F6AE2">
        <w:rPr>
          <w:sz w:val="32"/>
          <w:szCs w:val="32"/>
          <w:rtl/>
        </w:rPr>
        <w:t>على ما يبين من الحكم المطعون فيه وسائر الأوراق</w:t>
      </w:r>
      <w:r w:rsidRPr="003F6AE2">
        <w:rPr>
          <w:sz w:val="32"/>
          <w:szCs w:val="32"/>
        </w:rPr>
        <w:t xml:space="preserve">- </w:t>
      </w:r>
      <w:r w:rsidRPr="003F6AE2">
        <w:rPr>
          <w:sz w:val="32"/>
          <w:szCs w:val="32"/>
          <w:rtl/>
        </w:rPr>
        <w:t xml:space="preserve">تتحصل في أن البنك الطاعن أقام الدعوى رقم 3223 لسنة 2010 تجاري كلي/4 على الشركة </w:t>
      </w:r>
      <w:r w:rsidRPr="003F6AE2">
        <w:rPr>
          <w:sz w:val="32"/>
          <w:szCs w:val="32"/>
          <w:rtl/>
        </w:rPr>
        <w:lastRenderedPageBreak/>
        <w:t xml:space="preserve">المطعون ضدها بطلب الحكم بإلزامها أن تؤدي له مبلغ </w:t>
      </w:r>
      <w:r w:rsidRPr="003F6AE2">
        <w:rPr>
          <w:sz w:val="32"/>
          <w:szCs w:val="32"/>
        </w:rPr>
        <w:t xml:space="preserve">183,28787 </w:t>
      </w:r>
      <w:r w:rsidRPr="003F6AE2">
        <w:rPr>
          <w:sz w:val="32"/>
          <w:szCs w:val="32"/>
          <w:rtl/>
        </w:rPr>
        <w:t>دينار كويتي والفوائد الاتفاقية بواقع 75,9</w:t>
      </w:r>
      <w:r w:rsidRPr="003F6AE2">
        <w:rPr>
          <w:sz w:val="32"/>
          <w:szCs w:val="32"/>
        </w:rPr>
        <w:t xml:space="preserve">% </w:t>
      </w:r>
      <w:r w:rsidRPr="003F6AE2">
        <w:rPr>
          <w:sz w:val="32"/>
          <w:szCs w:val="32"/>
          <w:rtl/>
        </w:rPr>
        <w:t>سنوياً من تاريخ المطالبة وحتى تمام السداد وفي بيان ذلك يقول أنه بموجب عقد تأمين أبرم مع الشركة المطعون ضدها تأمين جماعي على المقترضين منه تلتزم بموجبه بأداء رصيد القرض المتبقي على القرض وأية دفعات تكون قد استحقت عليه ولم تسدد وذلك في حالتي الوفاة أو العجز الكلي الدائم للمقترض وإذ كان عميل البنك أحد المؤمن عليهم</w:t>
      </w:r>
      <w:r w:rsidRPr="003F6AE2">
        <w:rPr>
          <w:sz w:val="32"/>
          <w:szCs w:val="32"/>
        </w:rPr>
        <w:t xml:space="preserve">- ............- </w:t>
      </w:r>
      <w:r w:rsidRPr="003F6AE2">
        <w:rPr>
          <w:sz w:val="32"/>
          <w:szCs w:val="32"/>
          <w:rtl/>
        </w:rPr>
        <w:t>سبق له أن حصل على قرض من البنك الطاعن بمبلغ ثلاثون ألف دينار كويتي وتوفي بتاريخ 2006/12/10 وذمته مشغولة بالمبلغ المطالب به فاعذر البنك الطاعن الشركة المطعون ضدها لتنفيذ التزامها إلا أنها رفضت فأقام الدعوى</w:t>
      </w:r>
      <w:r w:rsidRPr="003F6AE2">
        <w:rPr>
          <w:sz w:val="32"/>
          <w:szCs w:val="32"/>
        </w:rPr>
        <w:t>.</w:t>
      </w:r>
    </w:p>
    <w:p w:rsidR="003F6AE2" w:rsidRPr="003F6AE2" w:rsidRDefault="003F6AE2" w:rsidP="003F6AE2">
      <w:pPr>
        <w:rPr>
          <w:sz w:val="32"/>
          <w:szCs w:val="32"/>
        </w:rPr>
      </w:pPr>
      <w:bookmarkStart w:id="12" w:name="Anchor197"/>
      <w:bookmarkEnd w:id="12"/>
      <w:r w:rsidRPr="003F6AE2">
        <w:rPr>
          <w:sz w:val="32"/>
          <w:szCs w:val="32"/>
          <w:rtl/>
        </w:rPr>
        <w:t>ندبت المحكمة خبيراً في الدعوى وبعد أن أودع تقريره حكمت بالزام المطعون ضدها أن تؤدي للطاعن بصفته مبلغ 183,28878 دبنار كويتي والفوائد المطالب بها مبلغ 552,986 دينار كويتي</w:t>
      </w:r>
      <w:r w:rsidRPr="003F6AE2">
        <w:rPr>
          <w:sz w:val="32"/>
          <w:szCs w:val="32"/>
        </w:rPr>
        <w:t>.</w:t>
      </w:r>
    </w:p>
    <w:p w:rsidR="003F6AE2" w:rsidRPr="003F6AE2" w:rsidRDefault="003F6AE2" w:rsidP="003F6AE2">
      <w:pPr>
        <w:rPr>
          <w:sz w:val="32"/>
          <w:szCs w:val="32"/>
        </w:rPr>
      </w:pPr>
      <w:bookmarkStart w:id="13" w:name="Anchor213"/>
      <w:bookmarkEnd w:id="13"/>
      <w:r w:rsidRPr="003F6AE2">
        <w:rPr>
          <w:sz w:val="32"/>
          <w:szCs w:val="32"/>
          <w:rtl/>
        </w:rPr>
        <w:t>استأنف البنك الطاعن هذا الحكم بالاستئناف رقم 4154 لسنة 2011 تجاري، كما استأنفته الشركة المطعون ضدها بالاستئناف رقم 4213 لسنة 2011 تجاري وبعد أن ضمت المحكمة الاستئناف الثاني إلى الأول قضت بتاريخ 2012/3/29 برفضهما وتأييد الحكم المستأنف</w:t>
      </w:r>
      <w:r w:rsidRPr="003F6AE2">
        <w:rPr>
          <w:sz w:val="32"/>
          <w:szCs w:val="32"/>
        </w:rPr>
        <w:t>.</w:t>
      </w:r>
    </w:p>
    <w:p w:rsidR="003F6AE2" w:rsidRPr="003F6AE2" w:rsidRDefault="003F6AE2" w:rsidP="003F6AE2">
      <w:pPr>
        <w:rPr>
          <w:sz w:val="32"/>
          <w:szCs w:val="32"/>
        </w:rPr>
      </w:pPr>
      <w:bookmarkStart w:id="14" w:name="Anchor233"/>
      <w:bookmarkEnd w:id="14"/>
      <w:r w:rsidRPr="003F6AE2">
        <w:rPr>
          <w:sz w:val="32"/>
          <w:szCs w:val="32"/>
          <w:rtl/>
        </w:rPr>
        <w:t>طعن البنك الطاعن في هذا الحكم بطريق التمييز واودعت الشركة المطعون ضدها مذكرة بدفاعها طلبت في ختامها رفض الطعن وأودعت النيابة مذكرة ابدت فيها الرأي برفضه وإذ عرض على هذه المحكمة في غرفة المشورة حددت جلسة لنظره وفيها التزمت النيابة رأيها</w:t>
      </w:r>
      <w:r w:rsidRPr="003F6AE2">
        <w:rPr>
          <w:sz w:val="32"/>
          <w:szCs w:val="32"/>
        </w:rPr>
        <w:t>.</w:t>
      </w:r>
    </w:p>
    <w:p w:rsidR="003F6AE2" w:rsidRPr="003F6AE2" w:rsidRDefault="003F6AE2" w:rsidP="003F6AE2">
      <w:pPr>
        <w:rPr>
          <w:sz w:val="32"/>
          <w:szCs w:val="32"/>
        </w:rPr>
      </w:pPr>
      <w:bookmarkStart w:id="15" w:name="Anchor257"/>
      <w:bookmarkEnd w:id="15"/>
      <w:r w:rsidRPr="003F6AE2">
        <w:rPr>
          <w:sz w:val="32"/>
          <w:szCs w:val="32"/>
          <w:rtl/>
        </w:rPr>
        <w:t>وحيث إن الطعن أقيم على سببين ينعي البنك الطاعن بالسبب الأول منهما على الحكم المطعون فيه القصور في التسبيب والفساد في الاستدلال وفي بيان ذلك يقول أنه اتفق مع الشركة المطعون ضدها في عقد التأمين على حلولها محل المدين المقترض في حالة تحقق الخطر المؤمن منه وهو الوفاة ومن ثم تلتزم بكافة التزاماته ومنها الفائدة التأخيرية الاتفاقية على مبلغ المديونية من تاريخ الاستحقاق وحتى تمام السداد، وإذ خالف الحكم المطعون فيه هذا النظر فإنه يكون معيباً بما يستوجب تمييزه</w:t>
      </w:r>
      <w:r w:rsidRPr="003F6AE2">
        <w:rPr>
          <w:sz w:val="32"/>
          <w:szCs w:val="32"/>
        </w:rPr>
        <w:t>.</w:t>
      </w:r>
    </w:p>
    <w:p w:rsidR="003F6AE2" w:rsidRPr="003F6AE2" w:rsidRDefault="003F6AE2" w:rsidP="003F6AE2">
      <w:pPr>
        <w:rPr>
          <w:sz w:val="32"/>
          <w:szCs w:val="32"/>
        </w:rPr>
      </w:pPr>
      <w:bookmarkStart w:id="16" w:name="Anchor302"/>
      <w:bookmarkStart w:id="17" w:name="TM2014_834_1"/>
      <w:bookmarkEnd w:id="16"/>
      <w:bookmarkEnd w:id="17"/>
      <w:r w:rsidRPr="003F6AE2">
        <w:rPr>
          <w:b/>
          <w:bCs/>
          <w:sz w:val="32"/>
          <w:szCs w:val="32"/>
          <w:rtl/>
        </w:rPr>
        <w:t>وحيث إن هذا النعي مردود ذلك أنه من المقرر في قضاء هذه المحكمة أن مفاد المادتين 196، 197 من القانون المدني أن العقد شريعة المتعاقدين ويجب تنفيذه طبقاً لما يتضمنه من أحكام وبطريقة تتفق مع ما يقتضيه حسن النية وشرف التعامل</w:t>
      </w:r>
      <w:r w:rsidRPr="003F6AE2">
        <w:rPr>
          <w:b/>
          <w:bCs/>
          <w:sz w:val="32"/>
          <w:szCs w:val="32"/>
        </w:rPr>
        <w:t>.</w:t>
      </w:r>
    </w:p>
    <w:p w:rsidR="003F6AE2" w:rsidRPr="003F6AE2" w:rsidRDefault="003F6AE2" w:rsidP="003F6AE2">
      <w:pPr>
        <w:rPr>
          <w:sz w:val="32"/>
          <w:szCs w:val="32"/>
        </w:rPr>
      </w:pPr>
      <w:bookmarkStart w:id="18" w:name="Anchor323"/>
      <w:bookmarkStart w:id="19" w:name="TM2014_834_2"/>
      <w:bookmarkEnd w:id="18"/>
      <w:bookmarkEnd w:id="19"/>
      <w:r w:rsidRPr="003F6AE2">
        <w:rPr>
          <w:b/>
          <w:bCs/>
          <w:sz w:val="32"/>
          <w:szCs w:val="32"/>
          <w:rtl/>
        </w:rPr>
        <w:t>وكان الحكم المطعون فيه قد أقام قضاءه برفض طلب الطاعن الزام الشركة المطعون ضدها بالفوائد الاتفاقية بعقد القرض من تاريخ الاستحقاق وحتى السداد على ما اطمان إليه من البندين الأول والخامس بوثيقة التأمين من أن الشركة المطعون ضدها قد التزمت بالبند الخامس بأنه في حالة وفاة العميل أو عجزه الكلي الدائم أثناء التأمين تلتزم أن تدفع إلى الطاعن مبلغ يعادل الرصيد المستحق وفقاً لعقد القرض في تاريخ الوفاة او العجز الكلي الدائم وأن تعريف الرصيد المستحق وفقاً للبند الأول من وثيقة التأمين يعني مبلغ أصل القرض المستحق بما في ذلك عنصر الفوائد والرسوم المستحقة بالإضافة إلى أي دفعات سداد متأخرة في وقت وفاة العميل او اصابته بعجز دائم كلي بما لا يحق معه البنك الطاعن الزام الشركة المطعون ضدها بالفوائد الاتفاقية سالفة البيان وكان ذلك استخلاصاً سائغاً من الحكم المطعون فيه له معينه الثابت بالأوراق وكافٍ لحمل قضائه فإن منازعة الطاعن في هذا الاستخلاص لا تعدو أن تكون جدلاً موضوعياً فيما لمحكمة الموضوع من سلطة تقديرية لا يجوز إثارته أمام هذه المحكمة ومن ثم يكون النعي ولا أساس له</w:t>
      </w:r>
      <w:r w:rsidRPr="003F6AE2">
        <w:rPr>
          <w:b/>
          <w:bCs/>
          <w:sz w:val="32"/>
          <w:szCs w:val="32"/>
        </w:rPr>
        <w:t>.</w:t>
      </w:r>
    </w:p>
    <w:p w:rsidR="003F6AE2" w:rsidRPr="003F6AE2" w:rsidRDefault="003F6AE2" w:rsidP="003F6AE2">
      <w:pPr>
        <w:rPr>
          <w:sz w:val="32"/>
          <w:szCs w:val="32"/>
        </w:rPr>
      </w:pPr>
      <w:bookmarkStart w:id="20" w:name="Anchor416"/>
      <w:bookmarkEnd w:id="20"/>
      <w:r w:rsidRPr="003F6AE2">
        <w:rPr>
          <w:sz w:val="32"/>
          <w:szCs w:val="32"/>
          <w:rtl/>
        </w:rPr>
        <w:t>وحيث إن البنك الطاعن ينعي بالسبب الثاني على الحكم المطعون فيه مخالفة القانون والخطأ في تطبيقه والقصور في التسبيب والفساد في الاستدلال وفي بيان ذلك يقول ان عقد التأمين سند الدعوى يعد عملاً تجارياً تسري عليه أحكام قانون التجارة التي تلزم المدين بأداء فوائد إذا تأخر في الوفاء بالتزامه للدائن إلا ان الحكم المطعون فيه خالف هذا النظر وقضى برفض طلب الطاعن الزام الشركة المطعون ضدها بالفوائد القانونية على المبلغ المستحق له لكون الدين مدنياً لا يستحق عنه فوائد إعمالاً لنص المادة 305 من القانون المدني وهو ما يعيبه بما يستوجب تمييزه</w:t>
      </w:r>
    </w:p>
    <w:p w:rsidR="003F6AE2" w:rsidRPr="003F6AE2" w:rsidRDefault="003F6AE2" w:rsidP="003F6AE2">
      <w:pPr>
        <w:rPr>
          <w:sz w:val="32"/>
          <w:szCs w:val="32"/>
        </w:rPr>
      </w:pPr>
      <w:bookmarkStart w:id="21" w:name="Anchor469"/>
      <w:bookmarkStart w:id="22" w:name="TM2014_834_3"/>
      <w:bookmarkEnd w:id="21"/>
      <w:bookmarkEnd w:id="22"/>
      <w:r w:rsidRPr="003F6AE2">
        <w:rPr>
          <w:b/>
          <w:bCs/>
          <w:sz w:val="32"/>
          <w:szCs w:val="32"/>
          <w:rtl/>
        </w:rPr>
        <w:t>وحيث إن هذا النعي سديد ذلك أنه من المقرر في قضاء هذه المحكمة ان مفاد الخامسه من قانون التجارة أن الأعمال المتعلقة بالتأمين بأنواعه المختلفة تعد اعمالاً تجارية بقطع النظر في صفة القائم به او نيته</w:t>
      </w:r>
      <w:r w:rsidRPr="003F6AE2">
        <w:rPr>
          <w:b/>
          <w:bCs/>
          <w:sz w:val="32"/>
          <w:szCs w:val="32"/>
        </w:rPr>
        <w:t>.</w:t>
      </w:r>
    </w:p>
    <w:p w:rsidR="003F6AE2" w:rsidRPr="003F6AE2" w:rsidRDefault="003F6AE2" w:rsidP="003F6AE2">
      <w:pPr>
        <w:rPr>
          <w:sz w:val="32"/>
          <w:szCs w:val="32"/>
        </w:rPr>
      </w:pPr>
      <w:bookmarkStart w:id="23" w:name="Anchor488"/>
      <w:bookmarkStart w:id="24" w:name="TM2014_834_4"/>
      <w:bookmarkEnd w:id="23"/>
      <w:bookmarkEnd w:id="24"/>
      <w:r w:rsidRPr="003F6AE2">
        <w:rPr>
          <w:b/>
          <w:bCs/>
          <w:sz w:val="32"/>
          <w:szCs w:val="32"/>
          <w:rtl/>
        </w:rPr>
        <w:t>لما كان ذلك، وكان عقد التأمين سند الدعوى يعد عملاً تجارياً تسري عليه أحكام قانون التجارة ومنها ما نصت عليه المادتين 110، 113 من استحقاق فوائد قانونية 7</w:t>
      </w:r>
      <w:r w:rsidRPr="003F6AE2">
        <w:rPr>
          <w:b/>
          <w:bCs/>
          <w:sz w:val="32"/>
          <w:szCs w:val="32"/>
        </w:rPr>
        <w:t xml:space="preserve">% </w:t>
      </w:r>
      <w:r w:rsidRPr="003F6AE2">
        <w:rPr>
          <w:b/>
          <w:bCs/>
          <w:sz w:val="32"/>
          <w:szCs w:val="32"/>
          <w:rtl/>
        </w:rPr>
        <w:t>سنوياً كتعويض عن التأخير في الوفاء بالالتزام التجاري الذي محله مبلغاً من النقود، وإذ خالف الحكم المطعون فيه هذا النظر فإنه يكون معيباً بما يوجب تمييزه جزئياً في هذا الشأن</w:t>
      </w:r>
      <w:r w:rsidRPr="003F6AE2">
        <w:rPr>
          <w:b/>
          <w:bCs/>
          <w:sz w:val="32"/>
          <w:szCs w:val="32"/>
        </w:rPr>
        <w:t>.</w:t>
      </w:r>
    </w:p>
    <w:p w:rsidR="003F6AE2" w:rsidRPr="003F6AE2" w:rsidRDefault="003F6AE2" w:rsidP="003F6AE2">
      <w:pPr>
        <w:rPr>
          <w:sz w:val="32"/>
          <w:szCs w:val="32"/>
        </w:rPr>
      </w:pPr>
      <w:bookmarkStart w:id="25" w:name="Anchor520"/>
      <w:bookmarkStart w:id="26" w:name="TM2014_834_5"/>
      <w:bookmarkEnd w:id="25"/>
      <w:bookmarkEnd w:id="26"/>
      <w:r w:rsidRPr="003F6AE2">
        <w:rPr>
          <w:b/>
          <w:bCs/>
          <w:sz w:val="32"/>
          <w:szCs w:val="32"/>
          <w:rtl/>
        </w:rPr>
        <w:t>وحيث إنه عن موضع الاستئناف رقم 4154 لسنة 2011 تجاري- وفي حدود ما تم تمييزه- ولما كان الحكم المستأنف قد انتهى إلى رفض طلب البنك المستأنف الزام الشركة المستأنف ضدها بالفوائد القانونية فإنه يكون معيباً بما يوجب إلغاؤه في هذا الشق والقضاء بالزام الشركة المستأنف ضدها أن تؤدي للبنك المستأنف الفوائد القانونية بواقع 7</w:t>
      </w:r>
      <w:r w:rsidRPr="003F6AE2">
        <w:rPr>
          <w:b/>
          <w:bCs/>
          <w:sz w:val="32"/>
          <w:szCs w:val="32"/>
        </w:rPr>
        <w:t xml:space="preserve">% </w:t>
      </w:r>
      <w:r w:rsidRPr="003F6AE2">
        <w:rPr>
          <w:b/>
          <w:bCs/>
          <w:sz w:val="32"/>
          <w:szCs w:val="32"/>
          <w:rtl/>
        </w:rPr>
        <w:t xml:space="preserve">سنوياً على إجمالي المبلغ المقضي به </w:t>
      </w:r>
      <w:r w:rsidRPr="003F6AE2">
        <w:rPr>
          <w:b/>
          <w:bCs/>
          <w:sz w:val="32"/>
          <w:szCs w:val="32"/>
        </w:rPr>
        <w:t xml:space="preserve">– </w:t>
      </w:r>
      <w:r w:rsidRPr="003F6AE2">
        <w:rPr>
          <w:b/>
          <w:bCs/>
          <w:sz w:val="32"/>
          <w:szCs w:val="32"/>
          <w:rtl/>
        </w:rPr>
        <w:t>أصلاً وفائدة</w:t>
      </w:r>
      <w:r w:rsidRPr="003F6AE2">
        <w:rPr>
          <w:b/>
          <w:bCs/>
          <w:sz w:val="32"/>
          <w:szCs w:val="32"/>
        </w:rPr>
        <w:t xml:space="preserve">- </w:t>
      </w:r>
      <w:r w:rsidRPr="003F6AE2">
        <w:rPr>
          <w:b/>
          <w:bCs/>
          <w:sz w:val="32"/>
          <w:szCs w:val="32"/>
          <w:rtl/>
        </w:rPr>
        <w:t>اعتباراً من 2008/4/4 وحتى السداد</w:t>
      </w:r>
      <w:r w:rsidRPr="003F6AE2">
        <w:rPr>
          <w:b/>
          <w:bCs/>
          <w:sz w:val="32"/>
          <w:szCs w:val="32"/>
        </w:rPr>
        <w:t xml:space="preserve">- </w:t>
      </w:r>
      <w:r w:rsidRPr="003F6AE2">
        <w:rPr>
          <w:b/>
          <w:bCs/>
          <w:sz w:val="32"/>
          <w:szCs w:val="32"/>
          <w:rtl/>
        </w:rPr>
        <w:t>وفقاً لطلبات البنك المستأنف في هذا الشأن</w:t>
      </w:r>
      <w:r w:rsidRPr="003F6AE2">
        <w:rPr>
          <w:b/>
          <w:bCs/>
          <w:sz w:val="32"/>
          <w:szCs w:val="32"/>
        </w:rPr>
        <w:t>.</w:t>
      </w:r>
    </w:p>
    <w:p w:rsidR="003F6AE2" w:rsidRPr="003F6AE2" w:rsidRDefault="003F6AE2" w:rsidP="003F6AE2">
      <w:pPr>
        <w:rPr>
          <w:sz w:val="32"/>
          <w:szCs w:val="32"/>
        </w:rPr>
      </w:pPr>
      <w:bookmarkStart w:id="27" w:name="Anchor563"/>
      <w:bookmarkEnd w:id="27"/>
      <w:r w:rsidRPr="003F6AE2">
        <w:rPr>
          <w:b/>
          <w:bCs/>
          <w:sz w:val="32"/>
          <w:szCs w:val="32"/>
          <w:rtl/>
        </w:rPr>
        <w:t>لذلك</w:t>
      </w:r>
    </w:p>
    <w:p w:rsidR="003F6AE2" w:rsidRPr="003F6AE2" w:rsidRDefault="003F6AE2" w:rsidP="003F6AE2">
      <w:pPr>
        <w:rPr>
          <w:sz w:val="32"/>
          <w:szCs w:val="32"/>
        </w:rPr>
      </w:pPr>
      <w:bookmarkStart w:id="28" w:name="Anchor564"/>
      <w:bookmarkEnd w:id="28"/>
      <w:r w:rsidRPr="003F6AE2">
        <w:rPr>
          <w:sz w:val="32"/>
          <w:szCs w:val="32"/>
          <w:rtl/>
        </w:rPr>
        <w:t>حكمت المحكمة</w:t>
      </w:r>
      <w:r w:rsidRPr="003F6AE2">
        <w:rPr>
          <w:sz w:val="32"/>
          <w:szCs w:val="32"/>
        </w:rPr>
        <w:t xml:space="preserve">: </w:t>
      </w:r>
      <w:r w:rsidRPr="003F6AE2">
        <w:rPr>
          <w:b/>
          <w:bCs/>
          <w:sz w:val="32"/>
          <w:szCs w:val="32"/>
          <w:rtl/>
        </w:rPr>
        <w:t>أولاً</w:t>
      </w:r>
      <w:r w:rsidRPr="003F6AE2">
        <w:rPr>
          <w:b/>
          <w:bCs/>
          <w:sz w:val="32"/>
          <w:szCs w:val="32"/>
        </w:rPr>
        <w:t>:-</w:t>
      </w:r>
      <w:r w:rsidRPr="003F6AE2">
        <w:rPr>
          <w:sz w:val="32"/>
          <w:szCs w:val="32"/>
        </w:rPr>
        <w:t xml:space="preserve"> </w:t>
      </w:r>
      <w:r w:rsidRPr="003F6AE2">
        <w:rPr>
          <w:sz w:val="32"/>
          <w:szCs w:val="32"/>
          <w:rtl/>
        </w:rPr>
        <w:t>بقبول الطعن شكلاً وفي الموضوع بتمييز الحكم المطعون فيه تمييزاً جزئياً على النحو المبين بالأسباب والزمت الشركة المطعون ضدها المصروفات ومبلغ عشرين ديناراً مقابل أتعاب المحاماة</w:t>
      </w:r>
      <w:r w:rsidRPr="003F6AE2">
        <w:rPr>
          <w:sz w:val="32"/>
          <w:szCs w:val="32"/>
        </w:rPr>
        <w:t>.</w:t>
      </w:r>
    </w:p>
    <w:p w:rsidR="003F6AE2" w:rsidRPr="003F6AE2" w:rsidRDefault="003F6AE2" w:rsidP="003F6AE2">
      <w:pPr>
        <w:rPr>
          <w:sz w:val="32"/>
          <w:szCs w:val="32"/>
        </w:rPr>
      </w:pPr>
      <w:bookmarkStart w:id="29" w:name="Anchor584"/>
      <w:bookmarkEnd w:id="29"/>
      <w:r w:rsidRPr="003F6AE2">
        <w:rPr>
          <w:b/>
          <w:bCs/>
          <w:sz w:val="32"/>
          <w:szCs w:val="32"/>
          <w:rtl/>
        </w:rPr>
        <w:t>ثانياً</w:t>
      </w:r>
      <w:r w:rsidRPr="003F6AE2">
        <w:rPr>
          <w:b/>
          <w:bCs/>
          <w:sz w:val="32"/>
          <w:szCs w:val="32"/>
        </w:rPr>
        <w:t>:</w:t>
      </w:r>
      <w:r w:rsidRPr="003F6AE2">
        <w:rPr>
          <w:sz w:val="32"/>
          <w:szCs w:val="32"/>
        </w:rPr>
        <w:t xml:space="preserve"> </w:t>
      </w:r>
      <w:r w:rsidRPr="003F6AE2">
        <w:rPr>
          <w:sz w:val="32"/>
          <w:szCs w:val="32"/>
          <w:rtl/>
        </w:rPr>
        <w:t>في موضوع الاستئناف رقم 4154 لسنة 2011 تجاري- وفي حدود ما تم تمييزه</w:t>
      </w:r>
      <w:r w:rsidRPr="003F6AE2">
        <w:rPr>
          <w:sz w:val="32"/>
          <w:szCs w:val="32"/>
        </w:rPr>
        <w:t xml:space="preserve">- </w:t>
      </w:r>
      <w:r w:rsidRPr="003F6AE2">
        <w:rPr>
          <w:sz w:val="32"/>
          <w:szCs w:val="32"/>
          <w:rtl/>
        </w:rPr>
        <w:t>بالغاء الحكم المستأنف فيما قضي به من رفض طلب الفوائد القانونية والقضاء مجدداً بالزام الشركة المستأنف ضدها أن تؤدي للبنك المستأنف الفوائد القانونية بواقع 7</w:t>
      </w:r>
      <w:r w:rsidRPr="003F6AE2">
        <w:rPr>
          <w:sz w:val="32"/>
          <w:szCs w:val="32"/>
        </w:rPr>
        <w:t xml:space="preserve">% </w:t>
      </w:r>
      <w:r w:rsidRPr="003F6AE2">
        <w:rPr>
          <w:sz w:val="32"/>
          <w:szCs w:val="32"/>
          <w:rtl/>
        </w:rPr>
        <w:t>سنوياً على إجمالي المبلغ المقضي به أصلاً وفائدة اعتبار من 2008/4/4 وحتى السداد والمصروفات ومبلغ خمسون ديناراً اتعاباً فعلية عن درجة الاستئناف</w:t>
      </w:r>
      <w:r w:rsidRPr="003F6AE2">
        <w:rPr>
          <w:sz w:val="32"/>
          <w:szCs w:val="32"/>
        </w:rPr>
        <w:t>.</w:t>
      </w:r>
    </w:p>
    <w:p w:rsidR="003F6AE2" w:rsidRPr="003F6AE2" w:rsidRDefault="003F6AE2" w:rsidP="003F6AE2">
      <w:pPr>
        <w:rPr>
          <w:sz w:val="32"/>
          <w:szCs w:val="32"/>
        </w:rPr>
      </w:pPr>
    </w:p>
    <w:p w:rsidR="003F6AE2" w:rsidRPr="003F6AE2" w:rsidRDefault="003F6AE2" w:rsidP="003F6AE2">
      <w:pPr>
        <w:rPr>
          <w:sz w:val="32"/>
          <w:szCs w:val="32"/>
        </w:rPr>
      </w:pPr>
      <w:bookmarkStart w:id="30" w:name="Anchor621"/>
      <w:bookmarkEnd w:id="30"/>
      <w:r w:rsidRPr="003F6AE2">
        <w:rPr>
          <w:sz w:val="32"/>
          <w:szCs w:val="32"/>
        </w:rPr>
        <w:t>* * *</w:t>
      </w:r>
    </w:p>
    <w:p w:rsidR="00D32E0F" w:rsidRPr="003F6AE2" w:rsidRDefault="00D32E0F">
      <w:pPr>
        <w:rPr>
          <w:sz w:val="32"/>
          <w:szCs w:val="32"/>
        </w:rPr>
      </w:pPr>
    </w:p>
    <w:sectPr w:rsidR="00D32E0F" w:rsidRPr="003F6AE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6C"/>
    <w:rsid w:val="0003272B"/>
    <w:rsid w:val="003F6AE2"/>
    <w:rsid w:val="0095246C"/>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A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A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40811">
      <w:bodyDiv w:val="1"/>
      <w:marLeft w:val="0"/>
      <w:marRight w:val="0"/>
      <w:marTop w:val="0"/>
      <w:marBottom w:val="0"/>
      <w:divBdr>
        <w:top w:val="none" w:sz="0" w:space="0" w:color="auto"/>
        <w:left w:val="none" w:sz="0" w:space="0" w:color="auto"/>
        <w:bottom w:val="none" w:sz="0" w:space="0" w:color="auto"/>
        <w:right w:val="none" w:sz="0" w:space="0" w:color="auto"/>
      </w:divBdr>
      <w:divsChild>
        <w:div w:id="1722361204">
          <w:marLeft w:val="0"/>
          <w:marRight w:val="0"/>
          <w:marTop w:val="0"/>
          <w:marBottom w:val="0"/>
          <w:divBdr>
            <w:top w:val="none" w:sz="0" w:space="0" w:color="auto"/>
            <w:left w:val="none" w:sz="0" w:space="0" w:color="auto"/>
            <w:bottom w:val="none" w:sz="0" w:space="0" w:color="auto"/>
            <w:right w:val="none" w:sz="0" w:space="0" w:color="auto"/>
          </w:divBdr>
        </w:div>
        <w:div w:id="1803300894">
          <w:marLeft w:val="0"/>
          <w:marRight w:val="0"/>
          <w:marTop w:val="0"/>
          <w:marBottom w:val="0"/>
          <w:divBdr>
            <w:top w:val="none" w:sz="0" w:space="0" w:color="auto"/>
            <w:left w:val="none" w:sz="0" w:space="0" w:color="auto"/>
            <w:bottom w:val="none" w:sz="0" w:space="0" w:color="auto"/>
            <w:right w:val="none" w:sz="0" w:space="0" w:color="auto"/>
          </w:divBdr>
        </w:div>
        <w:div w:id="161816641">
          <w:marLeft w:val="0"/>
          <w:marRight w:val="0"/>
          <w:marTop w:val="0"/>
          <w:marBottom w:val="0"/>
          <w:divBdr>
            <w:top w:val="none" w:sz="0" w:space="0" w:color="auto"/>
            <w:left w:val="none" w:sz="0" w:space="0" w:color="auto"/>
            <w:bottom w:val="none" w:sz="0" w:space="0" w:color="auto"/>
            <w:right w:val="none" w:sz="0" w:space="0" w:color="auto"/>
          </w:divBdr>
        </w:div>
        <w:div w:id="1676104332">
          <w:marLeft w:val="0"/>
          <w:marRight w:val="0"/>
          <w:marTop w:val="0"/>
          <w:marBottom w:val="0"/>
          <w:divBdr>
            <w:top w:val="none" w:sz="0" w:space="0" w:color="auto"/>
            <w:left w:val="none" w:sz="0" w:space="0" w:color="auto"/>
            <w:bottom w:val="none" w:sz="0" w:space="0" w:color="auto"/>
            <w:right w:val="none" w:sz="0" w:space="0" w:color="auto"/>
          </w:divBdr>
        </w:div>
        <w:div w:id="1591232217">
          <w:marLeft w:val="0"/>
          <w:marRight w:val="0"/>
          <w:marTop w:val="0"/>
          <w:marBottom w:val="0"/>
          <w:divBdr>
            <w:top w:val="none" w:sz="0" w:space="0" w:color="auto"/>
            <w:left w:val="none" w:sz="0" w:space="0" w:color="auto"/>
            <w:bottom w:val="none" w:sz="0" w:space="0" w:color="auto"/>
            <w:right w:val="none" w:sz="0" w:space="0" w:color="auto"/>
          </w:divBdr>
        </w:div>
        <w:div w:id="258760142">
          <w:marLeft w:val="0"/>
          <w:marRight w:val="0"/>
          <w:marTop w:val="0"/>
          <w:marBottom w:val="0"/>
          <w:divBdr>
            <w:top w:val="none" w:sz="0" w:space="0" w:color="auto"/>
            <w:left w:val="none" w:sz="0" w:space="0" w:color="auto"/>
            <w:bottom w:val="none" w:sz="0" w:space="0" w:color="auto"/>
            <w:right w:val="none" w:sz="0" w:space="0" w:color="auto"/>
          </w:divBdr>
        </w:div>
        <w:div w:id="1030497798">
          <w:marLeft w:val="0"/>
          <w:marRight w:val="0"/>
          <w:marTop w:val="0"/>
          <w:marBottom w:val="0"/>
          <w:divBdr>
            <w:top w:val="none" w:sz="0" w:space="0" w:color="auto"/>
            <w:left w:val="none" w:sz="0" w:space="0" w:color="auto"/>
            <w:bottom w:val="none" w:sz="0" w:space="0" w:color="auto"/>
            <w:right w:val="none" w:sz="0" w:space="0" w:color="auto"/>
          </w:divBdr>
        </w:div>
        <w:div w:id="1005935119">
          <w:marLeft w:val="0"/>
          <w:marRight w:val="0"/>
          <w:marTop w:val="0"/>
          <w:marBottom w:val="0"/>
          <w:divBdr>
            <w:top w:val="none" w:sz="0" w:space="0" w:color="auto"/>
            <w:left w:val="none" w:sz="0" w:space="0" w:color="auto"/>
            <w:bottom w:val="none" w:sz="0" w:space="0" w:color="auto"/>
            <w:right w:val="none" w:sz="0" w:space="0" w:color="auto"/>
          </w:divBdr>
        </w:div>
        <w:div w:id="80225295">
          <w:marLeft w:val="0"/>
          <w:marRight w:val="0"/>
          <w:marTop w:val="0"/>
          <w:marBottom w:val="0"/>
          <w:divBdr>
            <w:top w:val="none" w:sz="0" w:space="0" w:color="auto"/>
            <w:left w:val="none" w:sz="0" w:space="0" w:color="auto"/>
            <w:bottom w:val="none" w:sz="0" w:space="0" w:color="auto"/>
            <w:right w:val="none" w:sz="0" w:space="0" w:color="auto"/>
          </w:divBdr>
        </w:div>
        <w:div w:id="1792088654">
          <w:marLeft w:val="0"/>
          <w:marRight w:val="0"/>
          <w:marTop w:val="0"/>
          <w:marBottom w:val="0"/>
          <w:divBdr>
            <w:top w:val="none" w:sz="0" w:space="0" w:color="auto"/>
            <w:left w:val="none" w:sz="0" w:space="0" w:color="auto"/>
            <w:bottom w:val="none" w:sz="0" w:space="0" w:color="auto"/>
            <w:right w:val="none" w:sz="0" w:space="0" w:color="auto"/>
          </w:divBdr>
        </w:div>
        <w:div w:id="1047297628">
          <w:marLeft w:val="0"/>
          <w:marRight w:val="0"/>
          <w:marTop w:val="0"/>
          <w:marBottom w:val="0"/>
          <w:divBdr>
            <w:top w:val="none" w:sz="0" w:space="0" w:color="auto"/>
            <w:left w:val="none" w:sz="0" w:space="0" w:color="auto"/>
            <w:bottom w:val="none" w:sz="0" w:space="0" w:color="auto"/>
            <w:right w:val="none" w:sz="0" w:space="0" w:color="auto"/>
          </w:divBdr>
        </w:div>
        <w:div w:id="1131561212">
          <w:marLeft w:val="0"/>
          <w:marRight w:val="0"/>
          <w:marTop w:val="0"/>
          <w:marBottom w:val="0"/>
          <w:divBdr>
            <w:top w:val="none" w:sz="0" w:space="0" w:color="auto"/>
            <w:left w:val="none" w:sz="0" w:space="0" w:color="auto"/>
            <w:bottom w:val="none" w:sz="0" w:space="0" w:color="auto"/>
            <w:right w:val="none" w:sz="0" w:space="0" w:color="auto"/>
          </w:divBdr>
        </w:div>
        <w:div w:id="505100085">
          <w:marLeft w:val="0"/>
          <w:marRight w:val="0"/>
          <w:marTop w:val="0"/>
          <w:marBottom w:val="0"/>
          <w:divBdr>
            <w:top w:val="none" w:sz="0" w:space="0" w:color="auto"/>
            <w:left w:val="none" w:sz="0" w:space="0" w:color="auto"/>
            <w:bottom w:val="none" w:sz="0" w:space="0" w:color="auto"/>
            <w:right w:val="none" w:sz="0" w:space="0" w:color="auto"/>
          </w:divBdr>
        </w:div>
        <w:div w:id="1985545106">
          <w:marLeft w:val="0"/>
          <w:marRight w:val="0"/>
          <w:marTop w:val="0"/>
          <w:marBottom w:val="0"/>
          <w:divBdr>
            <w:top w:val="none" w:sz="0" w:space="0" w:color="auto"/>
            <w:left w:val="none" w:sz="0" w:space="0" w:color="auto"/>
            <w:bottom w:val="none" w:sz="0" w:space="0" w:color="auto"/>
            <w:right w:val="none" w:sz="0" w:space="0" w:color="auto"/>
          </w:divBdr>
        </w:div>
        <w:div w:id="278803051">
          <w:marLeft w:val="0"/>
          <w:marRight w:val="0"/>
          <w:marTop w:val="0"/>
          <w:marBottom w:val="0"/>
          <w:divBdr>
            <w:top w:val="none" w:sz="0" w:space="0" w:color="auto"/>
            <w:left w:val="none" w:sz="0" w:space="0" w:color="auto"/>
            <w:bottom w:val="none" w:sz="0" w:space="0" w:color="auto"/>
            <w:right w:val="none" w:sz="0" w:space="0" w:color="auto"/>
          </w:divBdr>
        </w:div>
        <w:div w:id="1146122905">
          <w:marLeft w:val="0"/>
          <w:marRight w:val="0"/>
          <w:marTop w:val="0"/>
          <w:marBottom w:val="0"/>
          <w:divBdr>
            <w:top w:val="none" w:sz="0" w:space="0" w:color="auto"/>
            <w:left w:val="none" w:sz="0" w:space="0" w:color="auto"/>
            <w:bottom w:val="none" w:sz="0" w:space="0" w:color="auto"/>
            <w:right w:val="none" w:sz="0" w:space="0" w:color="auto"/>
          </w:divBdr>
        </w:div>
        <w:div w:id="2135443454">
          <w:marLeft w:val="0"/>
          <w:marRight w:val="0"/>
          <w:marTop w:val="0"/>
          <w:marBottom w:val="0"/>
          <w:divBdr>
            <w:top w:val="none" w:sz="0" w:space="0" w:color="auto"/>
            <w:left w:val="none" w:sz="0" w:space="0" w:color="auto"/>
            <w:bottom w:val="none" w:sz="0" w:space="0" w:color="auto"/>
            <w:right w:val="none" w:sz="0" w:space="0" w:color="auto"/>
          </w:divBdr>
        </w:div>
        <w:div w:id="2127038447">
          <w:marLeft w:val="0"/>
          <w:marRight w:val="0"/>
          <w:marTop w:val="0"/>
          <w:marBottom w:val="0"/>
          <w:divBdr>
            <w:top w:val="none" w:sz="0" w:space="0" w:color="auto"/>
            <w:left w:val="none" w:sz="0" w:space="0" w:color="auto"/>
            <w:bottom w:val="none" w:sz="0" w:space="0" w:color="auto"/>
            <w:right w:val="none" w:sz="0" w:space="0" w:color="auto"/>
          </w:divBdr>
        </w:div>
        <w:div w:id="1996445724">
          <w:marLeft w:val="0"/>
          <w:marRight w:val="0"/>
          <w:marTop w:val="0"/>
          <w:marBottom w:val="0"/>
          <w:divBdr>
            <w:top w:val="none" w:sz="0" w:space="0" w:color="auto"/>
            <w:left w:val="none" w:sz="0" w:space="0" w:color="auto"/>
            <w:bottom w:val="none" w:sz="0" w:space="0" w:color="auto"/>
            <w:right w:val="none" w:sz="0" w:space="0" w:color="auto"/>
          </w:divBdr>
        </w:div>
        <w:div w:id="1346904317">
          <w:marLeft w:val="0"/>
          <w:marRight w:val="0"/>
          <w:marTop w:val="0"/>
          <w:marBottom w:val="0"/>
          <w:divBdr>
            <w:top w:val="none" w:sz="0" w:space="0" w:color="auto"/>
            <w:left w:val="none" w:sz="0" w:space="0" w:color="auto"/>
            <w:bottom w:val="none" w:sz="0" w:space="0" w:color="auto"/>
            <w:right w:val="none" w:sz="0" w:space="0" w:color="auto"/>
          </w:divBdr>
        </w:div>
        <w:div w:id="523790928">
          <w:marLeft w:val="0"/>
          <w:marRight w:val="0"/>
          <w:marTop w:val="0"/>
          <w:marBottom w:val="0"/>
          <w:divBdr>
            <w:top w:val="none" w:sz="0" w:space="0" w:color="auto"/>
            <w:left w:val="none" w:sz="0" w:space="0" w:color="auto"/>
            <w:bottom w:val="none" w:sz="0" w:space="0" w:color="auto"/>
            <w:right w:val="none" w:sz="0" w:space="0" w:color="auto"/>
          </w:divBdr>
        </w:div>
        <w:div w:id="618267355">
          <w:marLeft w:val="0"/>
          <w:marRight w:val="0"/>
          <w:marTop w:val="0"/>
          <w:marBottom w:val="0"/>
          <w:divBdr>
            <w:top w:val="none" w:sz="0" w:space="0" w:color="auto"/>
            <w:left w:val="none" w:sz="0" w:space="0" w:color="auto"/>
            <w:bottom w:val="none" w:sz="0" w:space="0" w:color="auto"/>
            <w:right w:val="none" w:sz="0" w:space="0" w:color="auto"/>
          </w:divBdr>
        </w:div>
        <w:div w:id="20131520">
          <w:marLeft w:val="0"/>
          <w:marRight w:val="0"/>
          <w:marTop w:val="0"/>
          <w:marBottom w:val="0"/>
          <w:divBdr>
            <w:top w:val="none" w:sz="0" w:space="0" w:color="auto"/>
            <w:left w:val="none" w:sz="0" w:space="0" w:color="auto"/>
            <w:bottom w:val="none" w:sz="0" w:space="0" w:color="auto"/>
            <w:right w:val="none" w:sz="0" w:space="0" w:color="auto"/>
          </w:divBdr>
        </w:div>
        <w:div w:id="2145391530">
          <w:marLeft w:val="0"/>
          <w:marRight w:val="0"/>
          <w:marTop w:val="0"/>
          <w:marBottom w:val="0"/>
          <w:divBdr>
            <w:top w:val="none" w:sz="0" w:space="0" w:color="auto"/>
            <w:left w:val="none" w:sz="0" w:space="0" w:color="auto"/>
            <w:bottom w:val="none" w:sz="0" w:space="0" w:color="auto"/>
            <w:right w:val="none" w:sz="0" w:space="0" w:color="auto"/>
          </w:divBdr>
        </w:div>
        <w:div w:id="1632858528">
          <w:marLeft w:val="0"/>
          <w:marRight w:val="0"/>
          <w:marTop w:val="0"/>
          <w:marBottom w:val="0"/>
          <w:divBdr>
            <w:top w:val="none" w:sz="0" w:space="0" w:color="auto"/>
            <w:left w:val="none" w:sz="0" w:space="0" w:color="auto"/>
            <w:bottom w:val="none" w:sz="0" w:space="0" w:color="auto"/>
            <w:right w:val="none" w:sz="0" w:space="0" w:color="auto"/>
          </w:divBdr>
        </w:div>
      </w:divsChild>
    </w:div>
    <w:div w:id="671613495">
      <w:bodyDiv w:val="1"/>
      <w:marLeft w:val="0"/>
      <w:marRight w:val="0"/>
      <w:marTop w:val="0"/>
      <w:marBottom w:val="0"/>
      <w:divBdr>
        <w:top w:val="none" w:sz="0" w:space="0" w:color="auto"/>
        <w:left w:val="none" w:sz="0" w:space="0" w:color="auto"/>
        <w:bottom w:val="none" w:sz="0" w:space="0" w:color="auto"/>
        <w:right w:val="none" w:sz="0" w:space="0" w:color="auto"/>
      </w:divBdr>
      <w:divsChild>
        <w:div w:id="972368994">
          <w:marLeft w:val="0"/>
          <w:marRight w:val="0"/>
          <w:marTop w:val="0"/>
          <w:marBottom w:val="0"/>
          <w:divBdr>
            <w:top w:val="none" w:sz="0" w:space="0" w:color="auto"/>
            <w:left w:val="none" w:sz="0" w:space="0" w:color="auto"/>
            <w:bottom w:val="none" w:sz="0" w:space="0" w:color="auto"/>
            <w:right w:val="none" w:sz="0" w:space="0" w:color="auto"/>
          </w:divBdr>
        </w:div>
        <w:div w:id="1098983691">
          <w:marLeft w:val="0"/>
          <w:marRight w:val="0"/>
          <w:marTop w:val="0"/>
          <w:marBottom w:val="0"/>
          <w:divBdr>
            <w:top w:val="none" w:sz="0" w:space="0" w:color="auto"/>
            <w:left w:val="none" w:sz="0" w:space="0" w:color="auto"/>
            <w:bottom w:val="none" w:sz="0" w:space="0" w:color="auto"/>
            <w:right w:val="none" w:sz="0" w:space="0" w:color="auto"/>
          </w:divBdr>
        </w:div>
        <w:div w:id="209876701">
          <w:marLeft w:val="0"/>
          <w:marRight w:val="0"/>
          <w:marTop w:val="0"/>
          <w:marBottom w:val="0"/>
          <w:divBdr>
            <w:top w:val="none" w:sz="0" w:space="0" w:color="auto"/>
            <w:left w:val="none" w:sz="0" w:space="0" w:color="auto"/>
            <w:bottom w:val="none" w:sz="0" w:space="0" w:color="auto"/>
            <w:right w:val="none" w:sz="0" w:space="0" w:color="auto"/>
          </w:divBdr>
        </w:div>
        <w:div w:id="931354655">
          <w:marLeft w:val="0"/>
          <w:marRight w:val="0"/>
          <w:marTop w:val="0"/>
          <w:marBottom w:val="0"/>
          <w:divBdr>
            <w:top w:val="none" w:sz="0" w:space="0" w:color="auto"/>
            <w:left w:val="none" w:sz="0" w:space="0" w:color="auto"/>
            <w:bottom w:val="none" w:sz="0" w:space="0" w:color="auto"/>
            <w:right w:val="none" w:sz="0" w:space="0" w:color="auto"/>
          </w:divBdr>
        </w:div>
        <w:div w:id="786239836">
          <w:marLeft w:val="0"/>
          <w:marRight w:val="0"/>
          <w:marTop w:val="0"/>
          <w:marBottom w:val="0"/>
          <w:divBdr>
            <w:top w:val="none" w:sz="0" w:space="0" w:color="auto"/>
            <w:left w:val="none" w:sz="0" w:space="0" w:color="auto"/>
            <w:bottom w:val="none" w:sz="0" w:space="0" w:color="auto"/>
            <w:right w:val="none" w:sz="0" w:space="0" w:color="auto"/>
          </w:divBdr>
        </w:div>
        <w:div w:id="2047872072">
          <w:marLeft w:val="0"/>
          <w:marRight w:val="0"/>
          <w:marTop w:val="0"/>
          <w:marBottom w:val="0"/>
          <w:divBdr>
            <w:top w:val="none" w:sz="0" w:space="0" w:color="auto"/>
            <w:left w:val="none" w:sz="0" w:space="0" w:color="auto"/>
            <w:bottom w:val="none" w:sz="0" w:space="0" w:color="auto"/>
            <w:right w:val="none" w:sz="0" w:space="0" w:color="auto"/>
          </w:divBdr>
        </w:div>
        <w:div w:id="961762761">
          <w:marLeft w:val="0"/>
          <w:marRight w:val="0"/>
          <w:marTop w:val="0"/>
          <w:marBottom w:val="0"/>
          <w:divBdr>
            <w:top w:val="none" w:sz="0" w:space="0" w:color="auto"/>
            <w:left w:val="none" w:sz="0" w:space="0" w:color="auto"/>
            <w:bottom w:val="none" w:sz="0" w:space="0" w:color="auto"/>
            <w:right w:val="none" w:sz="0" w:space="0" w:color="auto"/>
          </w:divBdr>
        </w:div>
        <w:div w:id="583078350">
          <w:marLeft w:val="0"/>
          <w:marRight w:val="0"/>
          <w:marTop w:val="0"/>
          <w:marBottom w:val="0"/>
          <w:divBdr>
            <w:top w:val="none" w:sz="0" w:space="0" w:color="auto"/>
            <w:left w:val="none" w:sz="0" w:space="0" w:color="auto"/>
            <w:bottom w:val="none" w:sz="0" w:space="0" w:color="auto"/>
            <w:right w:val="none" w:sz="0" w:space="0" w:color="auto"/>
          </w:divBdr>
        </w:div>
        <w:div w:id="421805049">
          <w:marLeft w:val="0"/>
          <w:marRight w:val="0"/>
          <w:marTop w:val="0"/>
          <w:marBottom w:val="0"/>
          <w:divBdr>
            <w:top w:val="none" w:sz="0" w:space="0" w:color="auto"/>
            <w:left w:val="none" w:sz="0" w:space="0" w:color="auto"/>
            <w:bottom w:val="none" w:sz="0" w:space="0" w:color="auto"/>
            <w:right w:val="none" w:sz="0" w:space="0" w:color="auto"/>
          </w:divBdr>
        </w:div>
        <w:div w:id="1288514368">
          <w:marLeft w:val="0"/>
          <w:marRight w:val="0"/>
          <w:marTop w:val="0"/>
          <w:marBottom w:val="0"/>
          <w:divBdr>
            <w:top w:val="none" w:sz="0" w:space="0" w:color="auto"/>
            <w:left w:val="none" w:sz="0" w:space="0" w:color="auto"/>
            <w:bottom w:val="none" w:sz="0" w:space="0" w:color="auto"/>
            <w:right w:val="none" w:sz="0" w:space="0" w:color="auto"/>
          </w:divBdr>
        </w:div>
        <w:div w:id="1488324266">
          <w:marLeft w:val="0"/>
          <w:marRight w:val="0"/>
          <w:marTop w:val="0"/>
          <w:marBottom w:val="0"/>
          <w:divBdr>
            <w:top w:val="none" w:sz="0" w:space="0" w:color="auto"/>
            <w:left w:val="none" w:sz="0" w:space="0" w:color="auto"/>
            <w:bottom w:val="none" w:sz="0" w:space="0" w:color="auto"/>
            <w:right w:val="none" w:sz="0" w:space="0" w:color="auto"/>
          </w:divBdr>
        </w:div>
        <w:div w:id="1026104257">
          <w:marLeft w:val="0"/>
          <w:marRight w:val="0"/>
          <w:marTop w:val="0"/>
          <w:marBottom w:val="0"/>
          <w:divBdr>
            <w:top w:val="none" w:sz="0" w:space="0" w:color="auto"/>
            <w:left w:val="none" w:sz="0" w:space="0" w:color="auto"/>
            <w:bottom w:val="none" w:sz="0" w:space="0" w:color="auto"/>
            <w:right w:val="none" w:sz="0" w:space="0" w:color="auto"/>
          </w:divBdr>
        </w:div>
        <w:div w:id="1037698241">
          <w:marLeft w:val="0"/>
          <w:marRight w:val="0"/>
          <w:marTop w:val="0"/>
          <w:marBottom w:val="0"/>
          <w:divBdr>
            <w:top w:val="none" w:sz="0" w:space="0" w:color="auto"/>
            <w:left w:val="none" w:sz="0" w:space="0" w:color="auto"/>
            <w:bottom w:val="none" w:sz="0" w:space="0" w:color="auto"/>
            <w:right w:val="none" w:sz="0" w:space="0" w:color="auto"/>
          </w:divBdr>
        </w:div>
        <w:div w:id="1577280232">
          <w:marLeft w:val="0"/>
          <w:marRight w:val="0"/>
          <w:marTop w:val="0"/>
          <w:marBottom w:val="0"/>
          <w:divBdr>
            <w:top w:val="none" w:sz="0" w:space="0" w:color="auto"/>
            <w:left w:val="none" w:sz="0" w:space="0" w:color="auto"/>
            <w:bottom w:val="none" w:sz="0" w:space="0" w:color="auto"/>
            <w:right w:val="none" w:sz="0" w:space="0" w:color="auto"/>
          </w:divBdr>
        </w:div>
        <w:div w:id="121002583">
          <w:marLeft w:val="0"/>
          <w:marRight w:val="0"/>
          <w:marTop w:val="0"/>
          <w:marBottom w:val="0"/>
          <w:divBdr>
            <w:top w:val="none" w:sz="0" w:space="0" w:color="auto"/>
            <w:left w:val="none" w:sz="0" w:space="0" w:color="auto"/>
            <w:bottom w:val="none" w:sz="0" w:space="0" w:color="auto"/>
            <w:right w:val="none" w:sz="0" w:space="0" w:color="auto"/>
          </w:divBdr>
        </w:div>
        <w:div w:id="1686441871">
          <w:marLeft w:val="0"/>
          <w:marRight w:val="0"/>
          <w:marTop w:val="0"/>
          <w:marBottom w:val="0"/>
          <w:divBdr>
            <w:top w:val="none" w:sz="0" w:space="0" w:color="auto"/>
            <w:left w:val="none" w:sz="0" w:space="0" w:color="auto"/>
            <w:bottom w:val="none" w:sz="0" w:space="0" w:color="auto"/>
            <w:right w:val="none" w:sz="0" w:space="0" w:color="auto"/>
          </w:divBdr>
        </w:div>
        <w:div w:id="2110806405">
          <w:marLeft w:val="0"/>
          <w:marRight w:val="0"/>
          <w:marTop w:val="0"/>
          <w:marBottom w:val="0"/>
          <w:divBdr>
            <w:top w:val="none" w:sz="0" w:space="0" w:color="auto"/>
            <w:left w:val="none" w:sz="0" w:space="0" w:color="auto"/>
            <w:bottom w:val="none" w:sz="0" w:space="0" w:color="auto"/>
            <w:right w:val="none" w:sz="0" w:space="0" w:color="auto"/>
          </w:divBdr>
        </w:div>
        <w:div w:id="1496722879">
          <w:marLeft w:val="0"/>
          <w:marRight w:val="0"/>
          <w:marTop w:val="0"/>
          <w:marBottom w:val="0"/>
          <w:divBdr>
            <w:top w:val="none" w:sz="0" w:space="0" w:color="auto"/>
            <w:left w:val="none" w:sz="0" w:space="0" w:color="auto"/>
            <w:bottom w:val="none" w:sz="0" w:space="0" w:color="auto"/>
            <w:right w:val="none" w:sz="0" w:space="0" w:color="auto"/>
          </w:divBdr>
        </w:div>
        <w:div w:id="141772710">
          <w:marLeft w:val="0"/>
          <w:marRight w:val="0"/>
          <w:marTop w:val="0"/>
          <w:marBottom w:val="0"/>
          <w:divBdr>
            <w:top w:val="none" w:sz="0" w:space="0" w:color="auto"/>
            <w:left w:val="none" w:sz="0" w:space="0" w:color="auto"/>
            <w:bottom w:val="none" w:sz="0" w:space="0" w:color="auto"/>
            <w:right w:val="none" w:sz="0" w:space="0" w:color="auto"/>
          </w:divBdr>
        </w:div>
        <w:div w:id="981422325">
          <w:marLeft w:val="0"/>
          <w:marRight w:val="0"/>
          <w:marTop w:val="0"/>
          <w:marBottom w:val="0"/>
          <w:divBdr>
            <w:top w:val="none" w:sz="0" w:space="0" w:color="auto"/>
            <w:left w:val="none" w:sz="0" w:space="0" w:color="auto"/>
            <w:bottom w:val="none" w:sz="0" w:space="0" w:color="auto"/>
            <w:right w:val="none" w:sz="0" w:space="0" w:color="auto"/>
          </w:divBdr>
        </w:div>
        <w:div w:id="1957325483">
          <w:marLeft w:val="0"/>
          <w:marRight w:val="0"/>
          <w:marTop w:val="0"/>
          <w:marBottom w:val="0"/>
          <w:divBdr>
            <w:top w:val="none" w:sz="0" w:space="0" w:color="auto"/>
            <w:left w:val="none" w:sz="0" w:space="0" w:color="auto"/>
            <w:bottom w:val="none" w:sz="0" w:space="0" w:color="auto"/>
            <w:right w:val="none" w:sz="0" w:space="0" w:color="auto"/>
          </w:divBdr>
        </w:div>
        <w:div w:id="1333803098">
          <w:marLeft w:val="0"/>
          <w:marRight w:val="0"/>
          <w:marTop w:val="0"/>
          <w:marBottom w:val="0"/>
          <w:divBdr>
            <w:top w:val="none" w:sz="0" w:space="0" w:color="auto"/>
            <w:left w:val="none" w:sz="0" w:space="0" w:color="auto"/>
            <w:bottom w:val="none" w:sz="0" w:space="0" w:color="auto"/>
            <w:right w:val="none" w:sz="0" w:space="0" w:color="auto"/>
          </w:divBdr>
        </w:div>
        <w:div w:id="1908417265">
          <w:marLeft w:val="0"/>
          <w:marRight w:val="0"/>
          <w:marTop w:val="0"/>
          <w:marBottom w:val="0"/>
          <w:divBdr>
            <w:top w:val="none" w:sz="0" w:space="0" w:color="auto"/>
            <w:left w:val="none" w:sz="0" w:space="0" w:color="auto"/>
            <w:bottom w:val="none" w:sz="0" w:space="0" w:color="auto"/>
            <w:right w:val="none" w:sz="0" w:space="0" w:color="auto"/>
          </w:divBdr>
        </w:div>
        <w:div w:id="335502966">
          <w:marLeft w:val="0"/>
          <w:marRight w:val="0"/>
          <w:marTop w:val="0"/>
          <w:marBottom w:val="0"/>
          <w:divBdr>
            <w:top w:val="none" w:sz="0" w:space="0" w:color="auto"/>
            <w:left w:val="none" w:sz="0" w:space="0" w:color="auto"/>
            <w:bottom w:val="none" w:sz="0" w:space="0" w:color="auto"/>
            <w:right w:val="none" w:sz="0" w:space="0" w:color="auto"/>
          </w:divBdr>
        </w:div>
        <w:div w:id="201942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6309</Characters>
  <Application>Microsoft Office Word</Application>
  <DocSecurity>0</DocSecurity>
  <Lines>52</Lines>
  <Paragraphs>14</Paragraphs>
  <ScaleCrop>false</ScaleCrop>
  <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2020-04-26T12:44:00Z</dcterms:created>
  <dcterms:modified xsi:type="dcterms:W3CDTF">2020-04-26T12:44:00Z</dcterms:modified>
</cp:coreProperties>
</file>