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AA" w:rsidRPr="00B85CAA" w:rsidRDefault="00B85CAA" w:rsidP="00B85CAA">
      <w:pPr>
        <w:jc w:val="center"/>
        <w:rPr>
          <w:sz w:val="32"/>
          <w:szCs w:val="32"/>
        </w:rPr>
      </w:pPr>
      <w:bookmarkStart w:id="0" w:name="Anchor1"/>
      <w:bookmarkEnd w:id="0"/>
      <w:r w:rsidRPr="00B85CAA">
        <w:rPr>
          <w:sz w:val="32"/>
          <w:szCs w:val="32"/>
          <w:rtl/>
        </w:rPr>
        <w:t xml:space="preserve">الطعن رقم </w:t>
      </w:r>
      <w:r w:rsidRPr="00B85CAA">
        <w:rPr>
          <w:sz w:val="32"/>
          <w:szCs w:val="32"/>
        </w:rPr>
        <w:t>8</w:t>
      </w:r>
      <w:bookmarkStart w:id="1" w:name="_GoBack"/>
      <w:bookmarkEnd w:id="1"/>
      <w:r w:rsidRPr="00B85CAA">
        <w:rPr>
          <w:sz w:val="32"/>
          <w:szCs w:val="32"/>
        </w:rPr>
        <w:t>12/2012</w:t>
      </w:r>
    </w:p>
    <w:p w:rsidR="00B85CAA" w:rsidRPr="00B85CAA" w:rsidRDefault="00B85CAA" w:rsidP="00B85CAA">
      <w:pPr>
        <w:rPr>
          <w:sz w:val="32"/>
          <w:szCs w:val="32"/>
        </w:rPr>
      </w:pPr>
      <w:bookmarkStart w:id="2" w:name="Anchor7"/>
      <w:bookmarkEnd w:id="2"/>
      <w:r w:rsidRPr="00B85CAA">
        <w:rPr>
          <w:sz w:val="32"/>
          <w:szCs w:val="32"/>
          <w:rtl/>
        </w:rPr>
        <w:t>هيئة المحكمة</w:t>
      </w:r>
      <w:r w:rsidRPr="00B85CAA">
        <w:rPr>
          <w:sz w:val="32"/>
          <w:szCs w:val="32"/>
        </w:rPr>
        <w:t xml:space="preserve">: </w:t>
      </w:r>
      <w:r w:rsidRPr="00B85CAA">
        <w:rPr>
          <w:sz w:val="32"/>
          <w:szCs w:val="32"/>
          <w:rtl/>
        </w:rPr>
        <w:t>برئاسة السيد المستشار يونس محمد الياسين رئيس الجلسة وعضوية السادة المستشارين عادل علي البحوه وإبراهيم الضبع وهشام فراويلة وثروت نصر الدين</w:t>
      </w:r>
    </w:p>
    <w:bookmarkStart w:id="3" w:name="Anchor24"/>
    <w:bookmarkEnd w:id="3"/>
    <w:p w:rsidR="00B85CAA" w:rsidRPr="00B85CAA" w:rsidRDefault="00B85CAA" w:rsidP="00B85CAA">
      <w:pPr>
        <w:rPr>
          <w:sz w:val="32"/>
          <w:szCs w:val="32"/>
        </w:rPr>
      </w:pPr>
      <w:r w:rsidRPr="00B85CAA">
        <w:rPr>
          <w:sz w:val="32"/>
          <w:szCs w:val="32"/>
        </w:rPr>
        <w:fldChar w:fldCharType="begin"/>
      </w:r>
      <w:r w:rsidRPr="00B85CAA">
        <w:rPr>
          <w:sz w:val="32"/>
          <w:szCs w:val="32"/>
        </w:rPr>
        <w:instrText xml:space="preserve"> HYPERLINK "http://www.law.gov.kw/KWT_CC-Ar/00_2014/00_%D8%A7%D9%84%D8%AF%D8%A7%D8%A6%D8%B1%D8%A9%20%D8%A7%D9%84%D8%AA%D8%AC%D8%A7%D8%B1%D9%8A%D8%A9/KWT-CC-Ar_2014-06-15_00812_Taan.html" \l "TM2014_812_1" </w:instrText>
      </w:r>
      <w:r w:rsidRPr="00B85CAA">
        <w:rPr>
          <w:sz w:val="32"/>
          <w:szCs w:val="32"/>
        </w:rPr>
        <w:fldChar w:fldCharType="separate"/>
      </w:r>
      <w:r w:rsidRPr="00B85CAA">
        <w:rPr>
          <w:rStyle w:val="Hyperlink"/>
          <w:sz w:val="32"/>
          <w:szCs w:val="32"/>
        </w:rPr>
        <w:t xml:space="preserve">1- </w:t>
      </w:r>
      <w:r w:rsidRPr="00B85CAA">
        <w:rPr>
          <w:rStyle w:val="Hyperlink"/>
          <w:sz w:val="32"/>
          <w:szCs w:val="32"/>
          <w:rtl/>
        </w:rPr>
        <w:t>إن لمحكمة الموضوع سلطة تفسير العقود واستخلاص ما تراه اوفى بمقصود عاقديها مستهدية في ذلك بوقائع الدعوى وظروفها شرط ان يكون استخلاصها سائغاً ولا يخالف المعنى الظاهر لها او النية المشتركة وما انصرفت اليه ارادة المتعاقدين</w:t>
      </w:r>
      <w:r w:rsidRPr="00B85CAA">
        <w:rPr>
          <w:rStyle w:val="Hyperlink"/>
          <w:sz w:val="32"/>
          <w:szCs w:val="32"/>
        </w:rPr>
        <w:t>.</w:t>
      </w:r>
      <w:r w:rsidRPr="00B85CAA">
        <w:rPr>
          <w:sz w:val="32"/>
          <w:szCs w:val="32"/>
        </w:rPr>
        <w:fldChar w:fldCharType="end"/>
      </w:r>
    </w:p>
    <w:bookmarkStart w:id="4" w:name="Anchor47"/>
    <w:bookmarkEnd w:id="4"/>
    <w:p w:rsidR="00B85CAA" w:rsidRPr="00B85CAA" w:rsidRDefault="00B85CAA" w:rsidP="00B85CAA">
      <w:pPr>
        <w:rPr>
          <w:sz w:val="32"/>
          <w:szCs w:val="32"/>
        </w:rPr>
      </w:pPr>
      <w:r w:rsidRPr="00B85CAA">
        <w:rPr>
          <w:sz w:val="32"/>
          <w:szCs w:val="32"/>
        </w:rPr>
        <w:fldChar w:fldCharType="begin"/>
      </w:r>
      <w:r w:rsidRPr="00B85CAA">
        <w:rPr>
          <w:sz w:val="32"/>
          <w:szCs w:val="32"/>
        </w:rPr>
        <w:instrText xml:space="preserve"> HYPERLINK "http://www.law.gov.kw/KWT_CC-Ar/00_2014/00_%D8%A7%D9%84%D8%AF%D8%A7%D8%A6%D8%B1%D8%A9%20%D8%A7%D9%84%D8%AA%D8%AC%D8%A7%D8%B1%D9%8A%D8%A9/KWT-CC-Ar_2014-06-15_00812_Taan.html" \l "TM2014_812_2" </w:instrText>
      </w:r>
      <w:r w:rsidRPr="00B85CAA">
        <w:rPr>
          <w:sz w:val="32"/>
          <w:szCs w:val="32"/>
        </w:rPr>
        <w:fldChar w:fldCharType="separate"/>
      </w:r>
      <w:r w:rsidRPr="00B85CAA">
        <w:rPr>
          <w:rStyle w:val="Hyperlink"/>
          <w:sz w:val="32"/>
          <w:szCs w:val="32"/>
        </w:rPr>
        <w:t xml:space="preserve">2- </w:t>
      </w:r>
      <w:r w:rsidRPr="00B85CAA">
        <w:rPr>
          <w:rStyle w:val="Hyperlink"/>
          <w:sz w:val="32"/>
          <w:szCs w:val="32"/>
          <w:rtl/>
        </w:rPr>
        <w:t>إن الشركتين إتفقتا على قيام الشركة المطعون ضدها بالاحتفاظ المحجوز ضمان قيمته 10% من كل فاتورة تسدده الى الطاعنة بعد إنجاز الاعمال وتقديم كفالة مصرفية بمبلغ معادل لفترة سنة من تاريخ انجاز الأعمال بالكامل فيكون الحكم المطعون فيه بتفسيره هذا الاتفاق انه يتعين على الطاعنة تقديم كفالة لاسترداد قيمة محجوز الضمان قد خرج عن المعنى الظاهر لعبارات العقد مما يوجب تمييزه</w:t>
      </w:r>
      <w:r w:rsidRPr="00B85CAA">
        <w:rPr>
          <w:rStyle w:val="Hyperlink"/>
          <w:sz w:val="32"/>
          <w:szCs w:val="32"/>
        </w:rPr>
        <w:t>.</w:t>
      </w:r>
      <w:r w:rsidRPr="00B85CAA">
        <w:rPr>
          <w:sz w:val="32"/>
          <w:szCs w:val="32"/>
        </w:rPr>
        <w:fldChar w:fldCharType="end"/>
      </w:r>
      <w:r w:rsidRPr="00B85CAA">
        <w:rPr>
          <w:sz w:val="32"/>
          <w:szCs w:val="32"/>
        </w:rPr>
        <w:br/>
      </w:r>
      <w:r w:rsidRPr="00B85CAA">
        <w:rPr>
          <w:sz w:val="32"/>
          <w:szCs w:val="32"/>
        </w:rPr>
        <w:br/>
      </w:r>
      <w:r w:rsidRPr="00B85CAA">
        <w:rPr>
          <w:sz w:val="32"/>
          <w:szCs w:val="32"/>
          <w:u w:val="single"/>
          <w:rtl/>
        </w:rPr>
        <w:t>ملاحظة</w:t>
      </w:r>
      <w:r w:rsidRPr="00B85CAA">
        <w:rPr>
          <w:sz w:val="32"/>
          <w:szCs w:val="32"/>
          <w:u w:val="single"/>
        </w:rPr>
        <w:t xml:space="preserve"> :</w:t>
      </w:r>
      <w:r w:rsidRPr="00B85CAA">
        <w:rPr>
          <w:sz w:val="32"/>
          <w:szCs w:val="32"/>
        </w:rPr>
        <w:br/>
      </w:r>
      <w:r w:rsidRPr="00B85CA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85CAA" w:rsidRPr="00B85CAA" w:rsidRDefault="00B85CAA" w:rsidP="00B85CAA">
      <w:pPr>
        <w:rPr>
          <w:sz w:val="32"/>
          <w:szCs w:val="32"/>
        </w:rPr>
      </w:pPr>
      <w:bookmarkStart w:id="5" w:name="Anchor83"/>
      <w:bookmarkEnd w:id="5"/>
      <w:r w:rsidRPr="00B85CAA">
        <w:rPr>
          <w:b/>
          <w:bCs/>
          <w:sz w:val="32"/>
          <w:szCs w:val="32"/>
          <w:rtl/>
        </w:rPr>
        <w:t>المحكمـــة</w:t>
      </w:r>
    </w:p>
    <w:p w:rsidR="00B85CAA" w:rsidRPr="00B85CAA" w:rsidRDefault="00B85CAA" w:rsidP="00B85CAA">
      <w:pPr>
        <w:rPr>
          <w:sz w:val="32"/>
          <w:szCs w:val="32"/>
        </w:rPr>
      </w:pPr>
      <w:bookmarkStart w:id="6" w:name="Anchor84"/>
      <w:bookmarkEnd w:id="6"/>
      <w:r w:rsidRPr="00B85CAA">
        <w:rPr>
          <w:sz w:val="32"/>
          <w:szCs w:val="32"/>
          <w:rtl/>
        </w:rPr>
        <w:t>بعد الاطلاع على الأوراق وسماع المرافعة، وبعد المداولة</w:t>
      </w:r>
      <w:r w:rsidRPr="00B85CAA">
        <w:rPr>
          <w:sz w:val="32"/>
          <w:szCs w:val="32"/>
        </w:rPr>
        <w:t>.</w:t>
      </w:r>
    </w:p>
    <w:p w:rsidR="00B85CAA" w:rsidRPr="00B85CAA" w:rsidRDefault="00B85CAA" w:rsidP="00B85CAA">
      <w:pPr>
        <w:rPr>
          <w:sz w:val="32"/>
          <w:szCs w:val="32"/>
        </w:rPr>
      </w:pPr>
      <w:bookmarkStart w:id="7" w:name="Anchor91"/>
      <w:bookmarkEnd w:id="7"/>
      <w:r w:rsidRPr="00B85CAA">
        <w:rPr>
          <w:sz w:val="32"/>
          <w:szCs w:val="32"/>
          <w:rtl/>
        </w:rPr>
        <w:t>حيث إن الطعن استوفى أوضاعه الشكلية</w:t>
      </w:r>
      <w:r w:rsidRPr="00B85CAA">
        <w:rPr>
          <w:sz w:val="32"/>
          <w:szCs w:val="32"/>
        </w:rPr>
        <w:t>.</w:t>
      </w:r>
    </w:p>
    <w:p w:rsidR="00B85CAA" w:rsidRPr="00B85CAA" w:rsidRDefault="00B85CAA" w:rsidP="00B85CAA">
      <w:pPr>
        <w:rPr>
          <w:sz w:val="32"/>
          <w:szCs w:val="32"/>
        </w:rPr>
      </w:pPr>
      <w:bookmarkStart w:id="8" w:name="Anchor96"/>
      <w:bookmarkEnd w:id="8"/>
      <w:r w:rsidRPr="00B85CAA">
        <w:rPr>
          <w:sz w:val="32"/>
          <w:szCs w:val="32"/>
          <w:rtl/>
        </w:rPr>
        <w:t xml:space="preserve">وحيث إن الوقائع </w:t>
      </w:r>
      <w:r w:rsidRPr="00B85CAA">
        <w:rPr>
          <w:sz w:val="32"/>
          <w:szCs w:val="32"/>
        </w:rPr>
        <w:t xml:space="preserve">– </w:t>
      </w:r>
      <w:r w:rsidRPr="00B85CAA">
        <w:rPr>
          <w:sz w:val="32"/>
          <w:szCs w:val="32"/>
          <w:rtl/>
        </w:rPr>
        <w:t xml:space="preserve">على ما يبين من الحكم المطعون فيه وسائر الأوراق </w:t>
      </w:r>
      <w:r w:rsidRPr="00B85CAA">
        <w:rPr>
          <w:sz w:val="32"/>
          <w:szCs w:val="32"/>
        </w:rPr>
        <w:t xml:space="preserve">– </w:t>
      </w:r>
      <w:r w:rsidRPr="00B85CAA">
        <w:rPr>
          <w:sz w:val="32"/>
          <w:szCs w:val="32"/>
          <w:rtl/>
        </w:rPr>
        <w:t xml:space="preserve">تتحصل في أن الشركة الطاعنة أقامت على الشركة المطعون ضدها الدعوى رقم </w:t>
      </w:r>
      <w:r w:rsidRPr="00B85CAA">
        <w:rPr>
          <w:sz w:val="32"/>
          <w:szCs w:val="32"/>
        </w:rPr>
        <w:t xml:space="preserve">2040 </w:t>
      </w:r>
      <w:r w:rsidRPr="00B85CAA">
        <w:rPr>
          <w:sz w:val="32"/>
          <w:szCs w:val="32"/>
          <w:rtl/>
        </w:rPr>
        <w:t xml:space="preserve">لسنة </w:t>
      </w:r>
      <w:r w:rsidRPr="00B85CAA">
        <w:rPr>
          <w:sz w:val="32"/>
          <w:szCs w:val="32"/>
        </w:rPr>
        <w:t xml:space="preserve">2009 </w:t>
      </w:r>
      <w:r w:rsidRPr="00B85CAA">
        <w:rPr>
          <w:sz w:val="32"/>
          <w:szCs w:val="32"/>
          <w:rtl/>
        </w:rPr>
        <w:t>تجاري كلي بطلب الحكم</w:t>
      </w:r>
      <w:r w:rsidRPr="00B85CAA">
        <w:rPr>
          <w:sz w:val="32"/>
          <w:szCs w:val="32"/>
        </w:rPr>
        <w:t xml:space="preserve"> - </w:t>
      </w:r>
      <w:r w:rsidRPr="00B85CAA">
        <w:rPr>
          <w:sz w:val="32"/>
          <w:szCs w:val="32"/>
          <w:rtl/>
        </w:rPr>
        <w:t xml:space="preserve">وفقاً لطلباتها الختامية </w:t>
      </w:r>
      <w:r w:rsidRPr="00B85CAA">
        <w:rPr>
          <w:sz w:val="32"/>
          <w:szCs w:val="32"/>
        </w:rPr>
        <w:t xml:space="preserve">– </w:t>
      </w:r>
      <w:r w:rsidRPr="00B85CAA">
        <w:rPr>
          <w:sz w:val="32"/>
          <w:szCs w:val="32"/>
          <w:rtl/>
        </w:rPr>
        <w:t xml:space="preserve">بإلزامها بأن تؤدي لها مبلغ </w:t>
      </w:r>
      <w:r w:rsidRPr="00B85CAA">
        <w:rPr>
          <w:sz w:val="32"/>
          <w:szCs w:val="32"/>
        </w:rPr>
        <w:t xml:space="preserve">7517.694 </w:t>
      </w:r>
      <w:r w:rsidRPr="00B85CAA">
        <w:rPr>
          <w:sz w:val="32"/>
          <w:szCs w:val="32"/>
          <w:rtl/>
        </w:rPr>
        <w:t xml:space="preserve">دينار وقالت بياناً لذلك أنه بموجب عقد بتاريخ 2006/6/1 تعاقدت مع المطعون ضدها على تنفيذ أعمال السفع الرملي والطلاء </w:t>
      </w:r>
      <w:r w:rsidRPr="00B85CAA">
        <w:rPr>
          <w:sz w:val="32"/>
          <w:szCs w:val="32"/>
        </w:rPr>
        <w:t>(</w:t>
      </w:r>
      <w:r w:rsidRPr="00B85CAA">
        <w:rPr>
          <w:sz w:val="32"/>
          <w:szCs w:val="32"/>
          <w:rtl/>
        </w:rPr>
        <w:t>داخلياً وخارجيا</w:t>
      </w:r>
      <w:r w:rsidRPr="00B85CAA">
        <w:rPr>
          <w:sz w:val="32"/>
          <w:szCs w:val="32"/>
        </w:rPr>
        <w:t xml:space="preserve">) </w:t>
      </w:r>
      <w:r w:rsidRPr="00B85CAA">
        <w:rPr>
          <w:sz w:val="32"/>
          <w:szCs w:val="32"/>
          <w:rtl/>
        </w:rPr>
        <w:t>وأعمال التغليف داخل مشروع مرفق إزالة الماء المسند إلى المطعون ضدها وقد قامت بتنفيذ الأعمال المتعاقد عليها وامتنعت المطعون ضدها عن تسليمها نسبة 10% (محجوز الضمان</w:t>
      </w:r>
      <w:r w:rsidRPr="00B85CAA">
        <w:rPr>
          <w:sz w:val="32"/>
          <w:szCs w:val="32"/>
        </w:rPr>
        <w:t xml:space="preserve">) </w:t>
      </w:r>
      <w:r w:rsidRPr="00B85CAA">
        <w:rPr>
          <w:sz w:val="32"/>
          <w:szCs w:val="32"/>
          <w:rtl/>
        </w:rPr>
        <w:t xml:space="preserve">المستقطعة من مستحقاتها رغم تنفيذ الأعمال طبقاً </w:t>
      </w:r>
      <w:r w:rsidRPr="00B85CAA">
        <w:rPr>
          <w:sz w:val="32"/>
          <w:szCs w:val="32"/>
          <w:rtl/>
        </w:rPr>
        <w:lastRenderedPageBreak/>
        <w:t>للمواصفات وتسليمها ومن ثم فقد أقامت الدعوى، وبعد أن أودع الخبير الذي ندبته المحكمة تقريريه حكمت بالطلبات</w:t>
      </w:r>
      <w:r w:rsidRPr="00B85CAA">
        <w:rPr>
          <w:sz w:val="32"/>
          <w:szCs w:val="32"/>
        </w:rPr>
        <w:t xml:space="preserve">. </w:t>
      </w:r>
      <w:r w:rsidRPr="00B85CAA">
        <w:rPr>
          <w:sz w:val="32"/>
          <w:szCs w:val="32"/>
          <w:rtl/>
        </w:rPr>
        <w:t>استأنفت المطعون ضدها هذا الحكم بالإستئناف 2002 لسنة 2011 تجاري وبعد أن أودعت لجنة الخبراء التي ندبتها المحكمة تقريرها قضت بتاريخ 2012/3/28 بإلغاء الحكم المستأنف والقضاء بعدم قبول الدعوى لرفعها قبل الأوان. طعنت الطاعنة في هذا الحكم بطريق التمييز وأودعت النيابة مذكرة أبدت فيها الرأي برفض الطعن</w:t>
      </w:r>
      <w:r w:rsidRPr="00B85CAA">
        <w:rPr>
          <w:sz w:val="32"/>
          <w:szCs w:val="32"/>
        </w:rPr>
        <w:t xml:space="preserve">. </w:t>
      </w:r>
      <w:r w:rsidRPr="00B85CAA">
        <w:rPr>
          <w:sz w:val="32"/>
          <w:szCs w:val="32"/>
          <w:rtl/>
        </w:rPr>
        <w:t>وإذ عُرض الطعن على هذه المحكمة في غرفة المشورة حددت جلسة لنظره وفيها إلتزمت النيابة رأيها</w:t>
      </w:r>
      <w:r w:rsidRPr="00B85CAA">
        <w:rPr>
          <w:sz w:val="32"/>
          <w:szCs w:val="32"/>
        </w:rPr>
        <w:t>.</w:t>
      </w:r>
    </w:p>
    <w:p w:rsidR="00B85CAA" w:rsidRPr="00B85CAA" w:rsidRDefault="00B85CAA" w:rsidP="00B85CAA">
      <w:pPr>
        <w:rPr>
          <w:sz w:val="32"/>
          <w:szCs w:val="32"/>
        </w:rPr>
      </w:pPr>
      <w:bookmarkStart w:id="9" w:name="Anchor202"/>
      <w:bookmarkEnd w:id="9"/>
      <w:r w:rsidRPr="00B85CAA">
        <w:rPr>
          <w:sz w:val="32"/>
          <w:szCs w:val="32"/>
          <w:rtl/>
        </w:rPr>
        <w:t xml:space="preserve">وحيث إن الطعن أقيم على سببين تنعي بهما الطاعنة على الحكم المطعون فيه الخطأ في تطبيق القانون والفساد في الإستدلال وفي بيان ذلك تقول أنها قامت بتنفيذ كافة الأعمال الواردة بالعقد المبرم بينهما وبين المطعون ضدها وقامت الأخيرة بسداد كامل قيمة هذه الأعمال وامتنعت عن سداد نسبة 10% من قيمتها التي قامت باستقطاعها </w:t>
      </w:r>
      <w:r w:rsidRPr="00B85CAA">
        <w:rPr>
          <w:sz w:val="32"/>
          <w:szCs w:val="32"/>
        </w:rPr>
        <w:t xml:space="preserve">_ </w:t>
      </w:r>
      <w:r w:rsidRPr="00B85CAA">
        <w:rPr>
          <w:sz w:val="32"/>
          <w:szCs w:val="32"/>
          <w:rtl/>
        </w:rPr>
        <w:t>محجوز الضمان)، رغم انتهاء فترة الضمان المقررة بالعقد بتاريخ 2009/1/6، وبالتالي فإن احتفاظ المطعون ضده بالمبلغ طوال فترة الضمان يقوم مقام الكفالة البنكية المنصوص عليها بالعقد ويحق لها المطالبة باسترداد قيمة محجوز الضمان، وإذ خالف الحكم المطعون فيه هذا النظر وقضى بإلغاء الحكم الإبتدائي وبعدم قبول الدعوى لرفعها قبل الأوان لعدم تقديمها الكفالة البنكية فإنه يكون معيباً بما يستوجب تمييزه</w:t>
      </w:r>
      <w:r w:rsidRPr="00B85CAA">
        <w:rPr>
          <w:sz w:val="32"/>
          <w:szCs w:val="32"/>
        </w:rPr>
        <w:t>.</w:t>
      </w:r>
    </w:p>
    <w:p w:rsidR="00B85CAA" w:rsidRPr="00B85CAA" w:rsidRDefault="00B85CAA" w:rsidP="00B85CAA">
      <w:pPr>
        <w:rPr>
          <w:sz w:val="32"/>
          <w:szCs w:val="32"/>
        </w:rPr>
      </w:pPr>
      <w:bookmarkStart w:id="10" w:name="Anchor272"/>
      <w:bookmarkStart w:id="11" w:name="TM2014_812_1"/>
      <w:bookmarkEnd w:id="10"/>
      <w:bookmarkEnd w:id="11"/>
      <w:r w:rsidRPr="00B85CAA">
        <w:rPr>
          <w:b/>
          <w:bCs/>
          <w:sz w:val="32"/>
          <w:szCs w:val="32"/>
          <w:rtl/>
        </w:rPr>
        <w:t xml:space="preserve">وحيث إن هذا النعي في محله، ذلك أن المقرر </w:t>
      </w:r>
      <w:r w:rsidRPr="00B85CAA">
        <w:rPr>
          <w:b/>
          <w:bCs/>
          <w:sz w:val="32"/>
          <w:szCs w:val="32"/>
        </w:rPr>
        <w:t xml:space="preserve">– </w:t>
      </w:r>
      <w:r w:rsidRPr="00B85CAA">
        <w:rPr>
          <w:b/>
          <w:bCs/>
          <w:sz w:val="32"/>
          <w:szCs w:val="32"/>
          <w:rtl/>
        </w:rPr>
        <w:t xml:space="preserve">في قضاء هذه المحكمة </w:t>
      </w:r>
      <w:r w:rsidRPr="00B85CAA">
        <w:rPr>
          <w:b/>
          <w:bCs/>
          <w:sz w:val="32"/>
          <w:szCs w:val="32"/>
        </w:rPr>
        <w:t xml:space="preserve">– </w:t>
      </w:r>
      <w:r w:rsidRPr="00B85CAA">
        <w:rPr>
          <w:b/>
          <w:bCs/>
          <w:sz w:val="32"/>
          <w:szCs w:val="32"/>
          <w:rtl/>
        </w:rPr>
        <w:t>أنه ولئن كان لمحكمة الموضوع سلطة تفسير العقود واستخلاص ما تراه أوفي بمقصود عاقديها مستهدية في ذلك بوقائع الدعوى وظروفها إلا أن شرط ذلك أن يكون استخلاصها سائغاً ولا يخالف المعنى الظاهر لها أو النية المشتركة وما انصرفت إليها إرادة المتعاقدين</w:t>
      </w:r>
      <w:r w:rsidRPr="00B85CAA">
        <w:rPr>
          <w:b/>
          <w:bCs/>
          <w:sz w:val="32"/>
          <w:szCs w:val="32"/>
        </w:rPr>
        <w:t>.</w:t>
      </w:r>
      <w:r w:rsidRPr="00B85CAA">
        <w:rPr>
          <w:sz w:val="32"/>
          <w:szCs w:val="32"/>
        </w:rPr>
        <w:t xml:space="preserve"> </w:t>
      </w:r>
    </w:p>
    <w:p w:rsidR="00B85CAA" w:rsidRPr="00B85CAA" w:rsidRDefault="00B85CAA" w:rsidP="00B85CAA">
      <w:pPr>
        <w:rPr>
          <w:sz w:val="32"/>
          <w:szCs w:val="32"/>
        </w:rPr>
      </w:pPr>
      <w:bookmarkStart w:id="12" w:name="Anchor305"/>
      <w:bookmarkStart w:id="13" w:name="TM2014_812_2"/>
      <w:bookmarkEnd w:id="12"/>
      <w:bookmarkEnd w:id="13"/>
      <w:r w:rsidRPr="00B85CAA">
        <w:rPr>
          <w:b/>
          <w:bCs/>
          <w:sz w:val="32"/>
          <w:szCs w:val="32"/>
          <w:rtl/>
        </w:rPr>
        <w:t>لما كان ذلك، وكان الثابت من مطالعة اتفاقية عقد من الباطن المبرم بين الشركتين طرف النزاع اتفاقهما على قيام الشركة المطعون ضدها بالاحتفاظ المحجوز ضمان قيمته 10% من كل فاتورة وأن يتم تسديده إلى الطاعنة بعد الإنجاز المقبول للأعمال وتقديم كفالة مصرفية بمبلغ معادل لفترة الضمانة والبالغ مدتها سنة واحدة من تاريخ إنجاز الأعمـال بالكامل</w:t>
      </w:r>
      <w:r w:rsidRPr="00B85CAA">
        <w:rPr>
          <w:b/>
          <w:bCs/>
          <w:sz w:val="32"/>
          <w:szCs w:val="32"/>
        </w:rPr>
        <w:t xml:space="preserve">. </w:t>
      </w:r>
      <w:r w:rsidRPr="00B85CAA">
        <w:rPr>
          <w:b/>
          <w:bCs/>
          <w:sz w:val="32"/>
          <w:szCs w:val="32"/>
          <w:rtl/>
        </w:rPr>
        <w:t xml:space="preserve">وكانت الشركة الطاعنة قد انتهت من تنفيذ الأعمال المتعاقد عليها بتاريخ </w:t>
      </w:r>
      <w:r w:rsidRPr="00B85CAA">
        <w:rPr>
          <w:b/>
          <w:bCs/>
          <w:sz w:val="32"/>
          <w:szCs w:val="32"/>
        </w:rPr>
        <w:t xml:space="preserve">2008/1/31 </w:t>
      </w:r>
      <w:r w:rsidRPr="00B85CAA">
        <w:rPr>
          <w:b/>
          <w:bCs/>
          <w:sz w:val="32"/>
          <w:szCs w:val="32"/>
          <w:rtl/>
        </w:rPr>
        <w:t>بدلالة تقاضيها كامل النسبة المستحقة لها والمنصوص عليها بالعقد وعدم منازعة المطعون ضدها في ذلك أو إبداء ما يفيد أن الأعمال المنفذة غير مقبولة، ومضت مدة أكثر من السنة المنصوص عليها، وبالتالي يحق لها استرداد قيمة محجوز الضمان دون إلزام عليها بتقديم الكفالة البنكية المشار إليها بالبند العاشر من الإتفاقية سالفة البيان والمرتبطة بالإفراج عن قيمة محجوز الضمان. وإذ خالف الحكم المطعون فيه هذا النظر وذهب في تفسيره لعبارات هذا الاتفاق إلى أنه يتعين على الطاعنة تقديم كفالة بنكية لاسترداد قيمة محجوز الضمان فإنه يكون قد خرج من المعنى الظاهر لعبارات العقد مما يعيبه ويوجب تمييزه</w:t>
      </w:r>
      <w:r w:rsidRPr="00B85CAA">
        <w:rPr>
          <w:b/>
          <w:bCs/>
          <w:sz w:val="32"/>
          <w:szCs w:val="32"/>
        </w:rPr>
        <w:t>.</w:t>
      </w:r>
    </w:p>
    <w:p w:rsidR="00B85CAA" w:rsidRPr="00B85CAA" w:rsidRDefault="00B85CAA" w:rsidP="00B85CAA">
      <w:pPr>
        <w:rPr>
          <w:sz w:val="32"/>
          <w:szCs w:val="32"/>
        </w:rPr>
      </w:pPr>
      <w:bookmarkStart w:id="14" w:name="Anchor398"/>
      <w:bookmarkEnd w:id="14"/>
      <w:r w:rsidRPr="00B85CAA">
        <w:rPr>
          <w:sz w:val="32"/>
          <w:szCs w:val="32"/>
          <w:rtl/>
        </w:rPr>
        <w:t xml:space="preserve">وحيث إنه عن موضوع الإستئناف </w:t>
      </w:r>
      <w:r w:rsidRPr="00B85CAA">
        <w:rPr>
          <w:sz w:val="32"/>
          <w:szCs w:val="32"/>
        </w:rPr>
        <w:t xml:space="preserve">– </w:t>
      </w:r>
      <w:r w:rsidRPr="00B85CAA">
        <w:rPr>
          <w:sz w:val="32"/>
          <w:szCs w:val="32"/>
          <w:rtl/>
        </w:rPr>
        <w:t xml:space="preserve">فهو صالح للفصل فيه </w:t>
      </w:r>
      <w:r w:rsidRPr="00B85CAA">
        <w:rPr>
          <w:sz w:val="32"/>
          <w:szCs w:val="32"/>
        </w:rPr>
        <w:t xml:space="preserve">– </w:t>
      </w:r>
      <w:r w:rsidRPr="00B85CAA">
        <w:rPr>
          <w:sz w:val="32"/>
          <w:szCs w:val="32"/>
          <w:rtl/>
        </w:rPr>
        <w:t>وإذ كان الحكم المستأنف في محله للأسباب الصحيحة التي قام عليها فإنه يتعين تأييده</w:t>
      </w:r>
      <w:r w:rsidRPr="00B85CAA">
        <w:rPr>
          <w:sz w:val="32"/>
          <w:szCs w:val="32"/>
        </w:rPr>
        <w:t>.</w:t>
      </w:r>
    </w:p>
    <w:p w:rsidR="00B85CAA" w:rsidRPr="00B85CAA" w:rsidRDefault="00B85CAA" w:rsidP="00B85CAA">
      <w:pPr>
        <w:rPr>
          <w:sz w:val="32"/>
          <w:szCs w:val="32"/>
        </w:rPr>
      </w:pPr>
      <w:bookmarkStart w:id="15" w:name="Anchor412"/>
      <w:bookmarkEnd w:id="15"/>
      <w:r w:rsidRPr="00B85CAA">
        <w:rPr>
          <w:sz w:val="32"/>
          <w:szCs w:val="32"/>
          <w:rtl/>
        </w:rPr>
        <w:t>وحيث إنه عن المصروفات شاملة أتعاب المحاماة فإن المحكمة تلزم بها المستأنفة عملاً بالمادتين 119، 147 من قانون المرافعات</w:t>
      </w:r>
      <w:r w:rsidRPr="00B85CAA">
        <w:rPr>
          <w:sz w:val="32"/>
          <w:szCs w:val="32"/>
        </w:rPr>
        <w:t>.</w:t>
      </w:r>
    </w:p>
    <w:p w:rsidR="00B85CAA" w:rsidRPr="00B85CAA" w:rsidRDefault="00B85CAA" w:rsidP="00B85CAA">
      <w:pPr>
        <w:rPr>
          <w:sz w:val="32"/>
          <w:szCs w:val="32"/>
        </w:rPr>
      </w:pPr>
      <w:bookmarkStart w:id="16" w:name="Anchor424"/>
      <w:bookmarkEnd w:id="16"/>
      <w:r w:rsidRPr="00B85CAA">
        <w:rPr>
          <w:b/>
          <w:bCs/>
          <w:sz w:val="32"/>
          <w:szCs w:val="32"/>
          <w:rtl/>
        </w:rPr>
        <w:t>لذلك</w:t>
      </w:r>
    </w:p>
    <w:p w:rsidR="00B85CAA" w:rsidRPr="00B85CAA" w:rsidRDefault="00B85CAA" w:rsidP="00B85CAA">
      <w:pPr>
        <w:rPr>
          <w:sz w:val="32"/>
          <w:szCs w:val="32"/>
        </w:rPr>
      </w:pPr>
      <w:bookmarkStart w:id="17" w:name="Anchor425"/>
      <w:bookmarkEnd w:id="17"/>
      <w:r w:rsidRPr="00B85CAA">
        <w:rPr>
          <w:sz w:val="32"/>
          <w:szCs w:val="32"/>
          <w:rtl/>
        </w:rPr>
        <w:t>حكمت المحكمة</w:t>
      </w:r>
      <w:r w:rsidRPr="00B85CAA">
        <w:rPr>
          <w:sz w:val="32"/>
          <w:szCs w:val="32"/>
        </w:rPr>
        <w:t xml:space="preserve">: </w:t>
      </w:r>
      <w:r w:rsidRPr="00B85CAA">
        <w:rPr>
          <w:sz w:val="32"/>
          <w:szCs w:val="32"/>
          <w:rtl/>
        </w:rPr>
        <w:t>أولاً</w:t>
      </w:r>
      <w:r w:rsidRPr="00B85CAA">
        <w:rPr>
          <w:sz w:val="32"/>
          <w:szCs w:val="32"/>
        </w:rPr>
        <w:t xml:space="preserve">:- </w:t>
      </w:r>
      <w:r w:rsidRPr="00B85CAA">
        <w:rPr>
          <w:sz w:val="32"/>
          <w:szCs w:val="32"/>
          <w:rtl/>
        </w:rPr>
        <w:t>بقبول الطعن شكلاً وفي الموضوع بتمييز الحكم المطعون فيه وألزمت المطعون ضدها المصروفات وعشرين ديناراً مقابل أتعاب المحاماة</w:t>
      </w:r>
      <w:r w:rsidRPr="00B85CAA">
        <w:rPr>
          <w:sz w:val="32"/>
          <w:szCs w:val="32"/>
        </w:rPr>
        <w:t>.</w:t>
      </w:r>
    </w:p>
    <w:p w:rsidR="00B85CAA" w:rsidRPr="00B85CAA" w:rsidRDefault="00B85CAA" w:rsidP="00B85CAA">
      <w:pPr>
        <w:rPr>
          <w:sz w:val="32"/>
          <w:szCs w:val="32"/>
        </w:rPr>
      </w:pPr>
      <w:bookmarkStart w:id="18" w:name="Anchor440"/>
      <w:bookmarkEnd w:id="18"/>
      <w:r w:rsidRPr="00B85CAA">
        <w:rPr>
          <w:sz w:val="32"/>
          <w:szCs w:val="32"/>
          <w:rtl/>
        </w:rPr>
        <w:t>ثانياً</w:t>
      </w:r>
      <w:r w:rsidRPr="00B85CAA">
        <w:rPr>
          <w:sz w:val="32"/>
          <w:szCs w:val="32"/>
        </w:rPr>
        <w:t xml:space="preserve">:- </w:t>
      </w:r>
      <w:r w:rsidRPr="00B85CAA">
        <w:rPr>
          <w:sz w:val="32"/>
          <w:szCs w:val="32"/>
          <w:rtl/>
        </w:rPr>
        <w:t>وفي موضوع الاستئناف برفضه وتأييد الحكم المستأنف وألزمت المستأنفة المصروفات ومائتي دينار مقابل أتعاب المحاماة الفعلية</w:t>
      </w:r>
      <w:r w:rsidRPr="00B85CAA">
        <w:rPr>
          <w:sz w:val="32"/>
          <w:szCs w:val="32"/>
        </w:rPr>
        <w:t xml:space="preserve">. </w:t>
      </w:r>
    </w:p>
    <w:p w:rsidR="00B85CAA" w:rsidRPr="00B85CAA" w:rsidRDefault="00B85CAA" w:rsidP="00B85CAA">
      <w:pPr>
        <w:rPr>
          <w:sz w:val="32"/>
          <w:szCs w:val="32"/>
        </w:rPr>
      </w:pPr>
    </w:p>
    <w:p w:rsidR="00B85CAA" w:rsidRPr="00B85CAA" w:rsidRDefault="00B85CAA" w:rsidP="00B85CAA">
      <w:pPr>
        <w:rPr>
          <w:sz w:val="32"/>
          <w:szCs w:val="32"/>
        </w:rPr>
      </w:pPr>
      <w:bookmarkStart w:id="19" w:name="Anchor454"/>
      <w:bookmarkEnd w:id="19"/>
      <w:r w:rsidRPr="00B85CAA">
        <w:rPr>
          <w:sz w:val="32"/>
          <w:szCs w:val="32"/>
        </w:rPr>
        <w:t>* * *</w:t>
      </w:r>
    </w:p>
    <w:p w:rsidR="008C2BA0" w:rsidRPr="00B85CAA" w:rsidRDefault="008C2BA0">
      <w:pPr>
        <w:rPr>
          <w:sz w:val="32"/>
          <w:szCs w:val="32"/>
        </w:rPr>
      </w:pPr>
    </w:p>
    <w:sectPr w:rsidR="008C2BA0" w:rsidRPr="00B85C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94"/>
    <w:rsid w:val="0003272B"/>
    <w:rsid w:val="008C2BA0"/>
    <w:rsid w:val="00B85CAA"/>
    <w:rsid w:val="00EA3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5896">
      <w:bodyDiv w:val="1"/>
      <w:marLeft w:val="0"/>
      <w:marRight w:val="0"/>
      <w:marTop w:val="0"/>
      <w:marBottom w:val="0"/>
      <w:divBdr>
        <w:top w:val="none" w:sz="0" w:space="0" w:color="auto"/>
        <w:left w:val="none" w:sz="0" w:space="0" w:color="auto"/>
        <w:bottom w:val="none" w:sz="0" w:space="0" w:color="auto"/>
        <w:right w:val="none" w:sz="0" w:space="0" w:color="auto"/>
      </w:divBdr>
      <w:divsChild>
        <w:div w:id="615329929">
          <w:marLeft w:val="0"/>
          <w:marRight w:val="0"/>
          <w:marTop w:val="0"/>
          <w:marBottom w:val="0"/>
          <w:divBdr>
            <w:top w:val="none" w:sz="0" w:space="0" w:color="auto"/>
            <w:left w:val="none" w:sz="0" w:space="0" w:color="auto"/>
            <w:bottom w:val="none" w:sz="0" w:space="0" w:color="auto"/>
            <w:right w:val="none" w:sz="0" w:space="0" w:color="auto"/>
          </w:divBdr>
        </w:div>
        <w:div w:id="63844785">
          <w:marLeft w:val="0"/>
          <w:marRight w:val="0"/>
          <w:marTop w:val="0"/>
          <w:marBottom w:val="0"/>
          <w:divBdr>
            <w:top w:val="none" w:sz="0" w:space="0" w:color="auto"/>
            <w:left w:val="none" w:sz="0" w:space="0" w:color="auto"/>
            <w:bottom w:val="none" w:sz="0" w:space="0" w:color="auto"/>
            <w:right w:val="none" w:sz="0" w:space="0" w:color="auto"/>
          </w:divBdr>
        </w:div>
        <w:div w:id="1521819681">
          <w:marLeft w:val="0"/>
          <w:marRight w:val="0"/>
          <w:marTop w:val="0"/>
          <w:marBottom w:val="0"/>
          <w:divBdr>
            <w:top w:val="none" w:sz="0" w:space="0" w:color="auto"/>
            <w:left w:val="none" w:sz="0" w:space="0" w:color="auto"/>
            <w:bottom w:val="none" w:sz="0" w:space="0" w:color="auto"/>
            <w:right w:val="none" w:sz="0" w:space="0" w:color="auto"/>
          </w:divBdr>
        </w:div>
        <w:div w:id="568464229">
          <w:marLeft w:val="0"/>
          <w:marRight w:val="0"/>
          <w:marTop w:val="0"/>
          <w:marBottom w:val="0"/>
          <w:divBdr>
            <w:top w:val="none" w:sz="0" w:space="0" w:color="auto"/>
            <w:left w:val="none" w:sz="0" w:space="0" w:color="auto"/>
            <w:bottom w:val="none" w:sz="0" w:space="0" w:color="auto"/>
            <w:right w:val="none" w:sz="0" w:space="0" w:color="auto"/>
          </w:divBdr>
        </w:div>
        <w:div w:id="529487698">
          <w:marLeft w:val="0"/>
          <w:marRight w:val="0"/>
          <w:marTop w:val="0"/>
          <w:marBottom w:val="0"/>
          <w:divBdr>
            <w:top w:val="none" w:sz="0" w:space="0" w:color="auto"/>
            <w:left w:val="none" w:sz="0" w:space="0" w:color="auto"/>
            <w:bottom w:val="none" w:sz="0" w:space="0" w:color="auto"/>
            <w:right w:val="none" w:sz="0" w:space="0" w:color="auto"/>
          </w:divBdr>
        </w:div>
        <w:div w:id="238180050">
          <w:marLeft w:val="0"/>
          <w:marRight w:val="0"/>
          <w:marTop w:val="0"/>
          <w:marBottom w:val="0"/>
          <w:divBdr>
            <w:top w:val="none" w:sz="0" w:space="0" w:color="auto"/>
            <w:left w:val="none" w:sz="0" w:space="0" w:color="auto"/>
            <w:bottom w:val="none" w:sz="0" w:space="0" w:color="auto"/>
            <w:right w:val="none" w:sz="0" w:space="0" w:color="auto"/>
          </w:divBdr>
        </w:div>
        <w:div w:id="1636980346">
          <w:marLeft w:val="0"/>
          <w:marRight w:val="0"/>
          <w:marTop w:val="0"/>
          <w:marBottom w:val="0"/>
          <w:divBdr>
            <w:top w:val="none" w:sz="0" w:space="0" w:color="auto"/>
            <w:left w:val="none" w:sz="0" w:space="0" w:color="auto"/>
            <w:bottom w:val="none" w:sz="0" w:space="0" w:color="auto"/>
            <w:right w:val="none" w:sz="0" w:space="0" w:color="auto"/>
          </w:divBdr>
        </w:div>
        <w:div w:id="659701042">
          <w:marLeft w:val="0"/>
          <w:marRight w:val="0"/>
          <w:marTop w:val="0"/>
          <w:marBottom w:val="0"/>
          <w:divBdr>
            <w:top w:val="none" w:sz="0" w:space="0" w:color="auto"/>
            <w:left w:val="none" w:sz="0" w:space="0" w:color="auto"/>
            <w:bottom w:val="none" w:sz="0" w:space="0" w:color="auto"/>
            <w:right w:val="none" w:sz="0" w:space="0" w:color="auto"/>
          </w:divBdr>
        </w:div>
        <w:div w:id="1114984499">
          <w:marLeft w:val="0"/>
          <w:marRight w:val="0"/>
          <w:marTop w:val="0"/>
          <w:marBottom w:val="0"/>
          <w:divBdr>
            <w:top w:val="none" w:sz="0" w:space="0" w:color="auto"/>
            <w:left w:val="none" w:sz="0" w:space="0" w:color="auto"/>
            <w:bottom w:val="none" w:sz="0" w:space="0" w:color="auto"/>
            <w:right w:val="none" w:sz="0" w:space="0" w:color="auto"/>
          </w:divBdr>
        </w:div>
        <w:div w:id="1462259985">
          <w:marLeft w:val="0"/>
          <w:marRight w:val="0"/>
          <w:marTop w:val="0"/>
          <w:marBottom w:val="0"/>
          <w:divBdr>
            <w:top w:val="none" w:sz="0" w:space="0" w:color="auto"/>
            <w:left w:val="none" w:sz="0" w:space="0" w:color="auto"/>
            <w:bottom w:val="none" w:sz="0" w:space="0" w:color="auto"/>
            <w:right w:val="none" w:sz="0" w:space="0" w:color="auto"/>
          </w:divBdr>
        </w:div>
        <w:div w:id="677461864">
          <w:marLeft w:val="0"/>
          <w:marRight w:val="0"/>
          <w:marTop w:val="0"/>
          <w:marBottom w:val="0"/>
          <w:divBdr>
            <w:top w:val="none" w:sz="0" w:space="0" w:color="auto"/>
            <w:left w:val="none" w:sz="0" w:space="0" w:color="auto"/>
            <w:bottom w:val="none" w:sz="0" w:space="0" w:color="auto"/>
            <w:right w:val="none" w:sz="0" w:space="0" w:color="auto"/>
          </w:divBdr>
        </w:div>
        <w:div w:id="151218517">
          <w:marLeft w:val="0"/>
          <w:marRight w:val="0"/>
          <w:marTop w:val="0"/>
          <w:marBottom w:val="0"/>
          <w:divBdr>
            <w:top w:val="none" w:sz="0" w:space="0" w:color="auto"/>
            <w:left w:val="none" w:sz="0" w:space="0" w:color="auto"/>
            <w:bottom w:val="none" w:sz="0" w:space="0" w:color="auto"/>
            <w:right w:val="none" w:sz="0" w:space="0" w:color="auto"/>
          </w:divBdr>
        </w:div>
        <w:div w:id="428821467">
          <w:marLeft w:val="0"/>
          <w:marRight w:val="0"/>
          <w:marTop w:val="0"/>
          <w:marBottom w:val="0"/>
          <w:divBdr>
            <w:top w:val="none" w:sz="0" w:space="0" w:color="auto"/>
            <w:left w:val="none" w:sz="0" w:space="0" w:color="auto"/>
            <w:bottom w:val="none" w:sz="0" w:space="0" w:color="auto"/>
            <w:right w:val="none" w:sz="0" w:space="0" w:color="auto"/>
          </w:divBdr>
        </w:div>
        <w:div w:id="477500919">
          <w:marLeft w:val="0"/>
          <w:marRight w:val="0"/>
          <w:marTop w:val="0"/>
          <w:marBottom w:val="0"/>
          <w:divBdr>
            <w:top w:val="none" w:sz="0" w:space="0" w:color="auto"/>
            <w:left w:val="none" w:sz="0" w:space="0" w:color="auto"/>
            <w:bottom w:val="none" w:sz="0" w:space="0" w:color="auto"/>
            <w:right w:val="none" w:sz="0" w:space="0" w:color="auto"/>
          </w:divBdr>
        </w:div>
        <w:div w:id="559053684">
          <w:marLeft w:val="0"/>
          <w:marRight w:val="0"/>
          <w:marTop w:val="0"/>
          <w:marBottom w:val="0"/>
          <w:divBdr>
            <w:top w:val="none" w:sz="0" w:space="0" w:color="auto"/>
            <w:left w:val="none" w:sz="0" w:space="0" w:color="auto"/>
            <w:bottom w:val="none" w:sz="0" w:space="0" w:color="auto"/>
            <w:right w:val="none" w:sz="0" w:space="0" w:color="auto"/>
          </w:divBdr>
        </w:div>
        <w:div w:id="835993741">
          <w:marLeft w:val="0"/>
          <w:marRight w:val="0"/>
          <w:marTop w:val="0"/>
          <w:marBottom w:val="0"/>
          <w:divBdr>
            <w:top w:val="none" w:sz="0" w:space="0" w:color="auto"/>
            <w:left w:val="none" w:sz="0" w:space="0" w:color="auto"/>
            <w:bottom w:val="none" w:sz="0" w:space="0" w:color="auto"/>
            <w:right w:val="none" w:sz="0" w:space="0" w:color="auto"/>
          </w:divBdr>
        </w:div>
        <w:div w:id="98725192">
          <w:marLeft w:val="0"/>
          <w:marRight w:val="0"/>
          <w:marTop w:val="0"/>
          <w:marBottom w:val="0"/>
          <w:divBdr>
            <w:top w:val="none" w:sz="0" w:space="0" w:color="auto"/>
            <w:left w:val="none" w:sz="0" w:space="0" w:color="auto"/>
            <w:bottom w:val="none" w:sz="0" w:space="0" w:color="auto"/>
            <w:right w:val="none" w:sz="0" w:space="0" w:color="auto"/>
          </w:divBdr>
        </w:div>
      </w:divsChild>
    </w:div>
    <w:div w:id="2100326746">
      <w:bodyDiv w:val="1"/>
      <w:marLeft w:val="0"/>
      <w:marRight w:val="0"/>
      <w:marTop w:val="0"/>
      <w:marBottom w:val="0"/>
      <w:divBdr>
        <w:top w:val="none" w:sz="0" w:space="0" w:color="auto"/>
        <w:left w:val="none" w:sz="0" w:space="0" w:color="auto"/>
        <w:bottom w:val="none" w:sz="0" w:space="0" w:color="auto"/>
        <w:right w:val="none" w:sz="0" w:space="0" w:color="auto"/>
      </w:divBdr>
      <w:divsChild>
        <w:div w:id="1264418104">
          <w:marLeft w:val="0"/>
          <w:marRight w:val="0"/>
          <w:marTop w:val="0"/>
          <w:marBottom w:val="0"/>
          <w:divBdr>
            <w:top w:val="none" w:sz="0" w:space="0" w:color="auto"/>
            <w:left w:val="none" w:sz="0" w:space="0" w:color="auto"/>
            <w:bottom w:val="none" w:sz="0" w:space="0" w:color="auto"/>
            <w:right w:val="none" w:sz="0" w:space="0" w:color="auto"/>
          </w:divBdr>
        </w:div>
        <w:div w:id="1902594784">
          <w:marLeft w:val="0"/>
          <w:marRight w:val="0"/>
          <w:marTop w:val="0"/>
          <w:marBottom w:val="0"/>
          <w:divBdr>
            <w:top w:val="none" w:sz="0" w:space="0" w:color="auto"/>
            <w:left w:val="none" w:sz="0" w:space="0" w:color="auto"/>
            <w:bottom w:val="none" w:sz="0" w:space="0" w:color="auto"/>
            <w:right w:val="none" w:sz="0" w:space="0" w:color="auto"/>
          </w:divBdr>
        </w:div>
        <w:div w:id="341859989">
          <w:marLeft w:val="0"/>
          <w:marRight w:val="0"/>
          <w:marTop w:val="0"/>
          <w:marBottom w:val="0"/>
          <w:divBdr>
            <w:top w:val="none" w:sz="0" w:space="0" w:color="auto"/>
            <w:left w:val="none" w:sz="0" w:space="0" w:color="auto"/>
            <w:bottom w:val="none" w:sz="0" w:space="0" w:color="auto"/>
            <w:right w:val="none" w:sz="0" w:space="0" w:color="auto"/>
          </w:divBdr>
        </w:div>
        <w:div w:id="762460467">
          <w:marLeft w:val="0"/>
          <w:marRight w:val="0"/>
          <w:marTop w:val="0"/>
          <w:marBottom w:val="0"/>
          <w:divBdr>
            <w:top w:val="none" w:sz="0" w:space="0" w:color="auto"/>
            <w:left w:val="none" w:sz="0" w:space="0" w:color="auto"/>
            <w:bottom w:val="none" w:sz="0" w:space="0" w:color="auto"/>
            <w:right w:val="none" w:sz="0" w:space="0" w:color="auto"/>
          </w:divBdr>
        </w:div>
        <w:div w:id="22217993">
          <w:marLeft w:val="0"/>
          <w:marRight w:val="0"/>
          <w:marTop w:val="0"/>
          <w:marBottom w:val="0"/>
          <w:divBdr>
            <w:top w:val="none" w:sz="0" w:space="0" w:color="auto"/>
            <w:left w:val="none" w:sz="0" w:space="0" w:color="auto"/>
            <w:bottom w:val="none" w:sz="0" w:space="0" w:color="auto"/>
            <w:right w:val="none" w:sz="0" w:space="0" w:color="auto"/>
          </w:divBdr>
        </w:div>
        <w:div w:id="1094058881">
          <w:marLeft w:val="0"/>
          <w:marRight w:val="0"/>
          <w:marTop w:val="0"/>
          <w:marBottom w:val="0"/>
          <w:divBdr>
            <w:top w:val="none" w:sz="0" w:space="0" w:color="auto"/>
            <w:left w:val="none" w:sz="0" w:space="0" w:color="auto"/>
            <w:bottom w:val="none" w:sz="0" w:space="0" w:color="auto"/>
            <w:right w:val="none" w:sz="0" w:space="0" w:color="auto"/>
          </w:divBdr>
        </w:div>
        <w:div w:id="1827555272">
          <w:marLeft w:val="0"/>
          <w:marRight w:val="0"/>
          <w:marTop w:val="0"/>
          <w:marBottom w:val="0"/>
          <w:divBdr>
            <w:top w:val="none" w:sz="0" w:space="0" w:color="auto"/>
            <w:left w:val="none" w:sz="0" w:space="0" w:color="auto"/>
            <w:bottom w:val="none" w:sz="0" w:space="0" w:color="auto"/>
            <w:right w:val="none" w:sz="0" w:space="0" w:color="auto"/>
          </w:divBdr>
        </w:div>
        <w:div w:id="1603149809">
          <w:marLeft w:val="0"/>
          <w:marRight w:val="0"/>
          <w:marTop w:val="0"/>
          <w:marBottom w:val="0"/>
          <w:divBdr>
            <w:top w:val="none" w:sz="0" w:space="0" w:color="auto"/>
            <w:left w:val="none" w:sz="0" w:space="0" w:color="auto"/>
            <w:bottom w:val="none" w:sz="0" w:space="0" w:color="auto"/>
            <w:right w:val="none" w:sz="0" w:space="0" w:color="auto"/>
          </w:divBdr>
        </w:div>
        <w:div w:id="1718890728">
          <w:marLeft w:val="0"/>
          <w:marRight w:val="0"/>
          <w:marTop w:val="0"/>
          <w:marBottom w:val="0"/>
          <w:divBdr>
            <w:top w:val="none" w:sz="0" w:space="0" w:color="auto"/>
            <w:left w:val="none" w:sz="0" w:space="0" w:color="auto"/>
            <w:bottom w:val="none" w:sz="0" w:space="0" w:color="auto"/>
            <w:right w:val="none" w:sz="0" w:space="0" w:color="auto"/>
          </w:divBdr>
        </w:div>
        <w:div w:id="1462650592">
          <w:marLeft w:val="0"/>
          <w:marRight w:val="0"/>
          <w:marTop w:val="0"/>
          <w:marBottom w:val="0"/>
          <w:divBdr>
            <w:top w:val="none" w:sz="0" w:space="0" w:color="auto"/>
            <w:left w:val="none" w:sz="0" w:space="0" w:color="auto"/>
            <w:bottom w:val="none" w:sz="0" w:space="0" w:color="auto"/>
            <w:right w:val="none" w:sz="0" w:space="0" w:color="auto"/>
          </w:divBdr>
        </w:div>
        <w:div w:id="188226414">
          <w:marLeft w:val="0"/>
          <w:marRight w:val="0"/>
          <w:marTop w:val="0"/>
          <w:marBottom w:val="0"/>
          <w:divBdr>
            <w:top w:val="none" w:sz="0" w:space="0" w:color="auto"/>
            <w:left w:val="none" w:sz="0" w:space="0" w:color="auto"/>
            <w:bottom w:val="none" w:sz="0" w:space="0" w:color="auto"/>
            <w:right w:val="none" w:sz="0" w:space="0" w:color="auto"/>
          </w:divBdr>
        </w:div>
        <w:div w:id="1618950497">
          <w:marLeft w:val="0"/>
          <w:marRight w:val="0"/>
          <w:marTop w:val="0"/>
          <w:marBottom w:val="0"/>
          <w:divBdr>
            <w:top w:val="none" w:sz="0" w:space="0" w:color="auto"/>
            <w:left w:val="none" w:sz="0" w:space="0" w:color="auto"/>
            <w:bottom w:val="none" w:sz="0" w:space="0" w:color="auto"/>
            <w:right w:val="none" w:sz="0" w:space="0" w:color="auto"/>
          </w:divBdr>
        </w:div>
        <w:div w:id="1678264612">
          <w:marLeft w:val="0"/>
          <w:marRight w:val="0"/>
          <w:marTop w:val="0"/>
          <w:marBottom w:val="0"/>
          <w:divBdr>
            <w:top w:val="none" w:sz="0" w:space="0" w:color="auto"/>
            <w:left w:val="none" w:sz="0" w:space="0" w:color="auto"/>
            <w:bottom w:val="none" w:sz="0" w:space="0" w:color="auto"/>
            <w:right w:val="none" w:sz="0" w:space="0" w:color="auto"/>
          </w:divBdr>
        </w:div>
        <w:div w:id="158692703">
          <w:marLeft w:val="0"/>
          <w:marRight w:val="0"/>
          <w:marTop w:val="0"/>
          <w:marBottom w:val="0"/>
          <w:divBdr>
            <w:top w:val="none" w:sz="0" w:space="0" w:color="auto"/>
            <w:left w:val="none" w:sz="0" w:space="0" w:color="auto"/>
            <w:bottom w:val="none" w:sz="0" w:space="0" w:color="auto"/>
            <w:right w:val="none" w:sz="0" w:space="0" w:color="auto"/>
          </w:divBdr>
        </w:div>
        <w:div w:id="1571621656">
          <w:marLeft w:val="0"/>
          <w:marRight w:val="0"/>
          <w:marTop w:val="0"/>
          <w:marBottom w:val="0"/>
          <w:divBdr>
            <w:top w:val="none" w:sz="0" w:space="0" w:color="auto"/>
            <w:left w:val="none" w:sz="0" w:space="0" w:color="auto"/>
            <w:bottom w:val="none" w:sz="0" w:space="0" w:color="auto"/>
            <w:right w:val="none" w:sz="0" w:space="0" w:color="auto"/>
          </w:divBdr>
        </w:div>
        <w:div w:id="798376097">
          <w:marLeft w:val="0"/>
          <w:marRight w:val="0"/>
          <w:marTop w:val="0"/>
          <w:marBottom w:val="0"/>
          <w:divBdr>
            <w:top w:val="none" w:sz="0" w:space="0" w:color="auto"/>
            <w:left w:val="none" w:sz="0" w:space="0" w:color="auto"/>
            <w:bottom w:val="none" w:sz="0" w:space="0" w:color="auto"/>
            <w:right w:val="none" w:sz="0" w:space="0" w:color="auto"/>
          </w:divBdr>
        </w:div>
        <w:div w:id="180900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2020-04-26T11:54:00Z</dcterms:created>
  <dcterms:modified xsi:type="dcterms:W3CDTF">2020-04-26T11:54:00Z</dcterms:modified>
</cp:coreProperties>
</file>