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0F" w:rsidRPr="0031400F" w:rsidRDefault="0031400F" w:rsidP="0031400F">
      <w:pPr>
        <w:jc w:val="center"/>
        <w:rPr>
          <w:sz w:val="32"/>
          <w:szCs w:val="32"/>
        </w:rPr>
      </w:pPr>
      <w:bookmarkStart w:id="0" w:name="Anchor1"/>
      <w:bookmarkEnd w:id="0"/>
      <w:r w:rsidRPr="0031400F">
        <w:rPr>
          <w:sz w:val="32"/>
          <w:szCs w:val="32"/>
          <w:rtl/>
        </w:rPr>
        <w:t>الطعن</w:t>
      </w:r>
      <w:bookmarkStart w:id="1" w:name="_GoBack"/>
      <w:bookmarkEnd w:id="1"/>
      <w:r w:rsidRPr="0031400F">
        <w:rPr>
          <w:sz w:val="32"/>
          <w:szCs w:val="32"/>
          <w:rtl/>
        </w:rPr>
        <w:t xml:space="preserve"> رقم </w:t>
      </w:r>
      <w:r w:rsidRPr="0031400F">
        <w:rPr>
          <w:sz w:val="32"/>
          <w:szCs w:val="32"/>
        </w:rPr>
        <w:t>865/2010</w:t>
      </w:r>
    </w:p>
    <w:p w:rsidR="0031400F" w:rsidRPr="0031400F" w:rsidRDefault="0031400F" w:rsidP="0031400F">
      <w:pPr>
        <w:rPr>
          <w:sz w:val="32"/>
          <w:szCs w:val="32"/>
        </w:rPr>
      </w:pPr>
      <w:bookmarkStart w:id="2" w:name="Anchor7"/>
      <w:bookmarkEnd w:id="2"/>
      <w:r w:rsidRPr="0031400F">
        <w:rPr>
          <w:sz w:val="32"/>
          <w:szCs w:val="32"/>
          <w:rtl/>
        </w:rPr>
        <w:t>هيئة المحكمة</w:t>
      </w:r>
      <w:r w:rsidRPr="0031400F">
        <w:rPr>
          <w:sz w:val="32"/>
          <w:szCs w:val="32"/>
        </w:rPr>
        <w:t xml:space="preserve">: </w:t>
      </w:r>
      <w:r w:rsidRPr="0031400F">
        <w:rPr>
          <w:sz w:val="32"/>
          <w:szCs w:val="32"/>
          <w:rtl/>
        </w:rPr>
        <w:t>برئاسة السيد المستشار عبد العزيز الفهد وكيل المحكمة وعضوية السادة المستشارين يوسف العمران وكيل المحكمة ومصطفي ثابت وعبد الرحمن مطاوع وعطيه النادي</w:t>
      </w:r>
      <w:r w:rsidRPr="0031400F">
        <w:rPr>
          <w:sz w:val="32"/>
          <w:szCs w:val="32"/>
        </w:rPr>
        <w:t>.</w:t>
      </w:r>
    </w:p>
    <w:bookmarkStart w:id="3" w:name="Anchor22"/>
    <w:bookmarkEnd w:id="3"/>
    <w:p w:rsidR="0031400F" w:rsidRPr="0031400F" w:rsidRDefault="0031400F" w:rsidP="0031400F">
      <w:pPr>
        <w:rPr>
          <w:sz w:val="32"/>
          <w:szCs w:val="32"/>
        </w:rPr>
      </w:pPr>
      <w:r w:rsidRPr="0031400F">
        <w:rPr>
          <w:sz w:val="32"/>
          <w:szCs w:val="32"/>
        </w:rPr>
        <w:fldChar w:fldCharType="begin"/>
      </w:r>
      <w:r w:rsidRPr="0031400F">
        <w:rPr>
          <w:sz w:val="32"/>
          <w:szCs w:val="32"/>
        </w:rPr>
        <w:instrText xml:space="preserve"> HYPERLINK "http://www.law.gov.kw/KWT_CC-Ar/00_2014/00_%D8%A7%D9%84%D8%AF%D8%A7%D8%A6%D8%B1%D8%A9%20%D8%A7%D9%84%D8%AA%D8%AC%D8%A7%D8%B1%D9%8A%D8%A9/KWT-CC-Ar_2014-02-17_00865_Taan.html" \l "TM2014_865_1" </w:instrText>
      </w:r>
      <w:r w:rsidRPr="0031400F">
        <w:rPr>
          <w:sz w:val="32"/>
          <w:szCs w:val="32"/>
        </w:rPr>
        <w:fldChar w:fldCharType="separate"/>
      </w:r>
      <w:r w:rsidRPr="0031400F">
        <w:rPr>
          <w:rStyle w:val="Hyperlink"/>
          <w:sz w:val="32"/>
          <w:szCs w:val="32"/>
        </w:rPr>
        <w:t xml:space="preserve">1- </w:t>
      </w:r>
      <w:r w:rsidRPr="0031400F">
        <w:rPr>
          <w:rStyle w:val="Hyperlink"/>
          <w:sz w:val="32"/>
          <w:szCs w:val="32"/>
          <w:rtl/>
        </w:rPr>
        <w:t>ان لمحكمة الموضوع السلطة في تحصيل وفهم الواقع في الدعوى وتقدير ما يقدم اليها من ادلة وحسبها ان تبيّن الحقيقة التي اقتنعت بها واوردت دليلها دون ان تكون ملزمة بتتبع الخصوم في مختلف اقوالهم وحجيتهم</w:t>
      </w:r>
      <w:r w:rsidRPr="0031400F">
        <w:rPr>
          <w:rStyle w:val="Hyperlink"/>
          <w:sz w:val="32"/>
          <w:szCs w:val="32"/>
        </w:rPr>
        <w:t>.</w:t>
      </w:r>
      <w:r w:rsidRPr="0031400F">
        <w:rPr>
          <w:sz w:val="32"/>
          <w:szCs w:val="32"/>
        </w:rPr>
        <w:fldChar w:fldCharType="end"/>
      </w:r>
      <w:r w:rsidRPr="0031400F">
        <w:rPr>
          <w:sz w:val="32"/>
          <w:szCs w:val="32"/>
        </w:rPr>
        <w:br/>
      </w:r>
      <w:r w:rsidRPr="0031400F">
        <w:rPr>
          <w:sz w:val="32"/>
          <w:szCs w:val="32"/>
        </w:rPr>
        <w:br/>
      </w:r>
      <w:r w:rsidRPr="0031400F">
        <w:rPr>
          <w:sz w:val="32"/>
          <w:szCs w:val="32"/>
          <w:u w:val="single"/>
          <w:rtl/>
        </w:rPr>
        <w:t>ملاحظة</w:t>
      </w:r>
      <w:r w:rsidRPr="0031400F">
        <w:rPr>
          <w:sz w:val="32"/>
          <w:szCs w:val="32"/>
          <w:u w:val="single"/>
        </w:rPr>
        <w:t xml:space="preserve"> :</w:t>
      </w:r>
      <w:r w:rsidRPr="0031400F">
        <w:rPr>
          <w:sz w:val="32"/>
          <w:szCs w:val="32"/>
        </w:rPr>
        <w:br/>
      </w:r>
      <w:r w:rsidRPr="0031400F">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31400F" w:rsidRPr="0031400F" w:rsidRDefault="0031400F" w:rsidP="0031400F">
      <w:pPr>
        <w:rPr>
          <w:sz w:val="32"/>
          <w:szCs w:val="32"/>
        </w:rPr>
      </w:pPr>
      <w:bookmarkStart w:id="4" w:name="Anchor43"/>
      <w:bookmarkEnd w:id="4"/>
      <w:r w:rsidRPr="0031400F">
        <w:rPr>
          <w:b/>
          <w:bCs/>
          <w:sz w:val="32"/>
          <w:szCs w:val="32"/>
          <w:rtl/>
        </w:rPr>
        <w:t>المحكمــــــــة</w:t>
      </w:r>
    </w:p>
    <w:p w:rsidR="0031400F" w:rsidRPr="0031400F" w:rsidRDefault="0031400F" w:rsidP="0031400F">
      <w:pPr>
        <w:rPr>
          <w:sz w:val="32"/>
          <w:szCs w:val="32"/>
        </w:rPr>
      </w:pPr>
      <w:bookmarkStart w:id="5" w:name="Anchor44"/>
      <w:bookmarkEnd w:id="5"/>
      <w:r w:rsidRPr="0031400F">
        <w:rPr>
          <w:sz w:val="32"/>
          <w:szCs w:val="32"/>
          <w:rtl/>
        </w:rPr>
        <w:t>بعد الاطلاع على الأوراق والمداولة</w:t>
      </w:r>
      <w:r w:rsidRPr="0031400F">
        <w:rPr>
          <w:sz w:val="32"/>
          <w:szCs w:val="32"/>
        </w:rPr>
        <w:t>.</w:t>
      </w:r>
    </w:p>
    <w:p w:rsidR="0031400F" w:rsidRPr="0031400F" w:rsidRDefault="0031400F" w:rsidP="0031400F">
      <w:pPr>
        <w:rPr>
          <w:sz w:val="32"/>
          <w:szCs w:val="32"/>
        </w:rPr>
      </w:pPr>
      <w:bookmarkStart w:id="6" w:name="Anchor48"/>
      <w:bookmarkEnd w:id="6"/>
      <w:r w:rsidRPr="0031400F">
        <w:rPr>
          <w:sz w:val="32"/>
          <w:szCs w:val="32"/>
          <w:rtl/>
        </w:rPr>
        <w:t xml:space="preserve">لما كان من المقرر </w:t>
      </w:r>
      <w:bookmarkStart w:id="7" w:name="TM2014_865_1"/>
      <w:bookmarkEnd w:id="7"/>
      <w:r w:rsidRPr="0031400F">
        <w:rPr>
          <w:b/>
          <w:bCs/>
          <w:sz w:val="32"/>
          <w:szCs w:val="32"/>
          <w:rtl/>
        </w:rPr>
        <w:t>أن لمحكمة الموضوع السلطة في تحصيل وفهم الواقع في الدعوى وتقدير ما يقدم من أدلة وحسبها أن تبين الحقيقة التي أقتنعت بها وأوردت دليلها دون أن تكون ملزمة بتتبع الخصوم في مختلف أقوالهم وحجيتهم وترد استقلالا على كل حجة أو قول أثاروه إذ في قيام هذه الحقيقة الرد المسقط لتلك الأقوال والحجج ولها تقدير تقارير الخبراء والموازنة بينها والأخذ بما تطمئن اليه منها ولا عليها إن هي لم ترد على المطاعن التي وجهت اليه لأن في أخذها به محمولا على أسبابه</w:t>
      </w:r>
      <w:r w:rsidRPr="0031400F">
        <w:rPr>
          <w:sz w:val="32"/>
          <w:szCs w:val="32"/>
          <w:rtl/>
        </w:rPr>
        <w:t xml:space="preserve"> ما يفيد أنها لم تجد فيها ما يستحق الرد عليه بأكثر مما تضمنه التقرير وكان الحكم المطعون فيه المعدل للحكم الابتدائي قد أقام قضاءه بالزام الطاعنة بالمبلغ المقضي به وفوائده القانونية </w:t>
      </w:r>
      <w:r w:rsidRPr="0031400F">
        <w:rPr>
          <w:sz w:val="32"/>
          <w:szCs w:val="32"/>
        </w:rPr>
        <w:t>7</w:t>
      </w:r>
      <w:r w:rsidRPr="0031400F">
        <w:rPr>
          <w:rFonts w:ascii="Arial" w:hAnsi="Arial" w:cs="Arial"/>
          <w:sz w:val="32"/>
          <w:szCs w:val="32"/>
        </w:rPr>
        <w:t>٪</w:t>
      </w:r>
      <w:r w:rsidRPr="0031400F">
        <w:rPr>
          <w:sz w:val="32"/>
          <w:szCs w:val="32"/>
        </w:rPr>
        <w:t xml:space="preserve"> </w:t>
      </w:r>
      <w:r w:rsidRPr="0031400F">
        <w:rPr>
          <w:sz w:val="32"/>
          <w:szCs w:val="32"/>
          <w:rtl/>
        </w:rPr>
        <w:t>من تاريخ الحكم وحتى تمام السداد قد أقام قضاءه على ما خلص اليه من تقرير الخبير الأخير رقم 8095 لسنة 2009 والذى إطمأن اليه لسلامة الأسس التي بنى عليها أن بعد تصفية الحساب بين الطرفين تبين أحقية المطعون ضدها في ذلك المبلغ وبعد خصم المبالغ المسددة من المديونية محل المطالبة وكان هذا الاستخلاص سائغا وله أصل ثابت بالاوراق وتكفى لحمله ويؤدي الى النتيجة التي أنتهى اليها فإن ما تثيره الطاعنة بسبب النعي حول تعييب هذا الاستخلاص لا يعدو أن يكون جدلا فيما لمحكمة الموضوع سلطة تقديره مما لا يجوز إثارته أمام هذه المحكمة مما يتعين معه التقرير بعدم قبول الطعن عملا بالمادتين 152، 154/5 من قانون المرافعات</w:t>
      </w:r>
      <w:r w:rsidRPr="0031400F">
        <w:rPr>
          <w:sz w:val="32"/>
          <w:szCs w:val="32"/>
        </w:rPr>
        <w:t>.</w:t>
      </w:r>
    </w:p>
    <w:p w:rsidR="0031400F" w:rsidRPr="0031400F" w:rsidRDefault="0031400F" w:rsidP="0031400F">
      <w:pPr>
        <w:rPr>
          <w:sz w:val="32"/>
          <w:szCs w:val="32"/>
        </w:rPr>
      </w:pPr>
      <w:bookmarkStart w:id="8" w:name="Anchor160"/>
      <w:bookmarkEnd w:id="8"/>
      <w:r w:rsidRPr="0031400F">
        <w:rPr>
          <w:sz w:val="32"/>
          <w:szCs w:val="32"/>
          <w:rtl/>
        </w:rPr>
        <w:lastRenderedPageBreak/>
        <w:t>لذلك</w:t>
      </w:r>
    </w:p>
    <w:p w:rsidR="0031400F" w:rsidRPr="0031400F" w:rsidRDefault="0031400F" w:rsidP="0031400F">
      <w:pPr>
        <w:rPr>
          <w:sz w:val="32"/>
          <w:szCs w:val="32"/>
        </w:rPr>
      </w:pPr>
      <w:bookmarkStart w:id="9" w:name="Anchor161"/>
      <w:bookmarkEnd w:id="9"/>
      <w:r w:rsidRPr="0031400F">
        <w:rPr>
          <w:sz w:val="32"/>
          <w:szCs w:val="32"/>
          <w:rtl/>
        </w:rPr>
        <w:t xml:space="preserve">قررت المحكمة </w:t>
      </w:r>
      <w:r w:rsidRPr="0031400F">
        <w:rPr>
          <w:sz w:val="32"/>
          <w:szCs w:val="32"/>
        </w:rPr>
        <w:t xml:space="preserve">– </w:t>
      </w:r>
      <w:r w:rsidRPr="0031400F">
        <w:rPr>
          <w:sz w:val="32"/>
          <w:szCs w:val="32"/>
          <w:rtl/>
        </w:rPr>
        <w:t>في غرفة المشورة عدم قبول الطعن وألزمت الطاعنة المصروفات مع مصادرة الكفالة</w:t>
      </w:r>
      <w:r w:rsidRPr="0031400F">
        <w:rPr>
          <w:sz w:val="32"/>
          <w:szCs w:val="32"/>
        </w:rPr>
        <w:t>.</w:t>
      </w:r>
    </w:p>
    <w:p w:rsidR="0031400F" w:rsidRPr="0031400F" w:rsidRDefault="0031400F" w:rsidP="0031400F">
      <w:pPr>
        <w:rPr>
          <w:sz w:val="32"/>
          <w:szCs w:val="32"/>
        </w:rPr>
      </w:pPr>
    </w:p>
    <w:p w:rsidR="0031400F" w:rsidRPr="0031400F" w:rsidRDefault="0031400F" w:rsidP="0031400F">
      <w:pPr>
        <w:rPr>
          <w:sz w:val="32"/>
          <w:szCs w:val="32"/>
        </w:rPr>
      </w:pPr>
      <w:bookmarkStart w:id="10" w:name="Anchor174"/>
      <w:bookmarkEnd w:id="10"/>
      <w:r w:rsidRPr="0031400F">
        <w:rPr>
          <w:sz w:val="32"/>
          <w:szCs w:val="32"/>
        </w:rPr>
        <w:t>* * *</w:t>
      </w:r>
    </w:p>
    <w:p w:rsidR="00D32E0F" w:rsidRPr="0031400F" w:rsidRDefault="00D32E0F">
      <w:pPr>
        <w:rPr>
          <w:sz w:val="32"/>
          <w:szCs w:val="32"/>
        </w:rPr>
      </w:pPr>
    </w:p>
    <w:sectPr w:rsidR="00D32E0F" w:rsidRPr="0031400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7F"/>
    <w:rsid w:val="0003272B"/>
    <w:rsid w:val="00207C7F"/>
    <w:rsid w:val="0031400F"/>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0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0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3121">
      <w:bodyDiv w:val="1"/>
      <w:marLeft w:val="0"/>
      <w:marRight w:val="0"/>
      <w:marTop w:val="0"/>
      <w:marBottom w:val="0"/>
      <w:divBdr>
        <w:top w:val="none" w:sz="0" w:space="0" w:color="auto"/>
        <w:left w:val="none" w:sz="0" w:space="0" w:color="auto"/>
        <w:bottom w:val="none" w:sz="0" w:space="0" w:color="auto"/>
        <w:right w:val="none" w:sz="0" w:space="0" w:color="auto"/>
      </w:divBdr>
      <w:divsChild>
        <w:div w:id="1749839319">
          <w:marLeft w:val="0"/>
          <w:marRight w:val="0"/>
          <w:marTop w:val="0"/>
          <w:marBottom w:val="0"/>
          <w:divBdr>
            <w:top w:val="none" w:sz="0" w:space="0" w:color="auto"/>
            <w:left w:val="none" w:sz="0" w:space="0" w:color="auto"/>
            <w:bottom w:val="none" w:sz="0" w:space="0" w:color="auto"/>
            <w:right w:val="none" w:sz="0" w:space="0" w:color="auto"/>
          </w:divBdr>
        </w:div>
        <w:div w:id="204754419">
          <w:marLeft w:val="0"/>
          <w:marRight w:val="0"/>
          <w:marTop w:val="0"/>
          <w:marBottom w:val="0"/>
          <w:divBdr>
            <w:top w:val="none" w:sz="0" w:space="0" w:color="auto"/>
            <w:left w:val="none" w:sz="0" w:space="0" w:color="auto"/>
            <w:bottom w:val="none" w:sz="0" w:space="0" w:color="auto"/>
            <w:right w:val="none" w:sz="0" w:space="0" w:color="auto"/>
          </w:divBdr>
        </w:div>
        <w:div w:id="2124107957">
          <w:marLeft w:val="0"/>
          <w:marRight w:val="0"/>
          <w:marTop w:val="0"/>
          <w:marBottom w:val="0"/>
          <w:divBdr>
            <w:top w:val="none" w:sz="0" w:space="0" w:color="auto"/>
            <w:left w:val="none" w:sz="0" w:space="0" w:color="auto"/>
            <w:bottom w:val="none" w:sz="0" w:space="0" w:color="auto"/>
            <w:right w:val="none" w:sz="0" w:space="0" w:color="auto"/>
          </w:divBdr>
        </w:div>
        <w:div w:id="1121150394">
          <w:marLeft w:val="0"/>
          <w:marRight w:val="0"/>
          <w:marTop w:val="0"/>
          <w:marBottom w:val="0"/>
          <w:divBdr>
            <w:top w:val="none" w:sz="0" w:space="0" w:color="auto"/>
            <w:left w:val="none" w:sz="0" w:space="0" w:color="auto"/>
            <w:bottom w:val="none" w:sz="0" w:space="0" w:color="auto"/>
            <w:right w:val="none" w:sz="0" w:space="0" w:color="auto"/>
          </w:divBdr>
        </w:div>
        <w:div w:id="938148037">
          <w:marLeft w:val="0"/>
          <w:marRight w:val="0"/>
          <w:marTop w:val="0"/>
          <w:marBottom w:val="0"/>
          <w:divBdr>
            <w:top w:val="none" w:sz="0" w:space="0" w:color="auto"/>
            <w:left w:val="none" w:sz="0" w:space="0" w:color="auto"/>
            <w:bottom w:val="none" w:sz="0" w:space="0" w:color="auto"/>
            <w:right w:val="none" w:sz="0" w:space="0" w:color="auto"/>
          </w:divBdr>
        </w:div>
        <w:div w:id="141432500">
          <w:marLeft w:val="0"/>
          <w:marRight w:val="0"/>
          <w:marTop w:val="0"/>
          <w:marBottom w:val="0"/>
          <w:divBdr>
            <w:top w:val="none" w:sz="0" w:space="0" w:color="auto"/>
            <w:left w:val="none" w:sz="0" w:space="0" w:color="auto"/>
            <w:bottom w:val="none" w:sz="0" w:space="0" w:color="auto"/>
            <w:right w:val="none" w:sz="0" w:space="0" w:color="auto"/>
          </w:divBdr>
        </w:div>
        <w:div w:id="412288120">
          <w:marLeft w:val="0"/>
          <w:marRight w:val="0"/>
          <w:marTop w:val="0"/>
          <w:marBottom w:val="0"/>
          <w:divBdr>
            <w:top w:val="none" w:sz="0" w:space="0" w:color="auto"/>
            <w:left w:val="none" w:sz="0" w:space="0" w:color="auto"/>
            <w:bottom w:val="none" w:sz="0" w:space="0" w:color="auto"/>
            <w:right w:val="none" w:sz="0" w:space="0" w:color="auto"/>
          </w:divBdr>
        </w:div>
        <w:div w:id="1825589522">
          <w:marLeft w:val="0"/>
          <w:marRight w:val="0"/>
          <w:marTop w:val="0"/>
          <w:marBottom w:val="0"/>
          <w:divBdr>
            <w:top w:val="none" w:sz="0" w:space="0" w:color="auto"/>
            <w:left w:val="none" w:sz="0" w:space="0" w:color="auto"/>
            <w:bottom w:val="none" w:sz="0" w:space="0" w:color="auto"/>
            <w:right w:val="none" w:sz="0" w:space="0" w:color="auto"/>
          </w:divBdr>
        </w:div>
        <w:div w:id="1663386862">
          <w:marLeft w:val="0"/>
          <w:marRight w:val="0"/>
          <w:marTop w:val="0"/>
          <w:marBottom w:val="0"/>
          <w:divBdr>
            <w:top w:val="none" w:sz="0" w:space="0" w:color="auto"/>
            <w:left w:val="none" w:sz="0" w:space="0" w:color="auto"/>
            <w:bottom w:val="none" w:sz="0" w:space="0" w:color="auto"/>
            <w:right w:val="none" w:sz="0" w:space="0" w:color="auto"/>
          </w:divBdr>
        </w:div>
      </w:divsChild>
    </w:div>
    <w:div w:id="867839680">
      <w:bodyDiv w:val="1"/>
      <w:marLeft w:val="0"/>
      <w:marRight w:val="0"/>
      <w:marTop w:val="0"/>
      <w:marBottom w:val="0"/>
      <w:divBdr>
        <w:top w:val="none" w:sz="0" w:space="0" w:color="auto"/>
        <w:left w:val="none" w:sz="0" w:space="0" w:color="auto"/>
        <w:bottom w:val="none" w:sz="0" w:space="0" w:color="auto"/>
        <w:right w:val="none" w:sz="0" w:space="0" w:color="auto"/>
      </w:divBdr>
      <w:divsChild>
        <w:div w:id="1727604279">
          <w:marLeft w:val="0"/>
          <w:marRight w:val="0"/>
          <w:marTop w:val="0"/>
          <w:marBottom w:val="0"/>
          <w:divBdr>
            <w:top w:val="none" w:sz="0" w:space="0" w:color="auto"/>
            <w:left w:val="none" w:sz="0" w:space="0" w:color="auto"/>
            <w:bottom w:val="none" w:sz="0" w:space="0" w:color="auto"/>
            <w:right w:val="none" w:sz="0" w:space="0" w:color="auto"/>
          </w:divBdr>
        </w:div>
        <w:div w:id="811097752">
          <w:marLeft w:val="0"/>
          <w:marRight w:val="0"/>
          <w:marTop w:val="0"/>
          <w:marBottom w:val="0"/>
          <w:divBdr>
            <w:top w:val="none" w:sz="0" w:space="0" w:color="auto"/>
            <w:left w:val="none" w:sz="0" w:space="0" w:color="auto"/>
            <w:bottom w:val="none" w:sz="0" w:space="0" w:color="auto"/>
            <w:right w:val="none" w:sz="0" w:space="0" w:color="auto"/>
          </w:divBdr>
        </w:div>
        <w:div w:id="534193665">
          <w:marLeft w:val="0"/>
          <w:marRight w:val="0"/>
          <w:marTop w:val="0"/>
          <w:marBottom w:val="0"/>
          <w:divBdr>
            <w:top w:val="none" w:sz="0" w:space="0" w:color="auto"/>
            <w:left w:val="none" w:sz="0" w:space="0" w:color="auto"/>
            <w:bottom w:val="none" w:sz="0" w:space="0" w:color="auto"/>
            <w:right w:val="none" w:sz="0" w:space="0" w:color="auto"/>
          </w:divBdr>
        </w:div>
        <w:div w:id="2000038556">
          <w:marLeft w:val="0"/>
          <w:marRight w:val="0"/>
          <w:marTop w:val="0"/>
          <w:marBottom w:val="0"/>
          <w:divBdr>
            <w:top w:val="none" w:sz="0" w:space="0" w:color="auto"/>
            <w:left w:val="none" w:sz="0" w:space="0" w:color="auto"/>
            <w:bottom w:val="none" w:sz="0" w:space="0" w:color="auto"/>
            <w:right w:val="none" w:sz="0" w:space="0" w:color="auto"/>
          </w:divBdr>
        </w:div>
        <w:div w:id="1043871927">
          <w:marLeft w:val="0"/>
          <w:marRight w:val="0"/>
          <w:marTop w:val="0"/>
          <w:marBottom w:val="0"/>
          <w:divBdr>
            <w:top w:val="none" w:sz="0" w:space="0" w:color="auto"/>
            <w:left w:val="none" w:sz="0" w:space="0" w:color="auto"/>
            <w:bottom w:val="none" w:sz="0" w:space="0" w:color="auto"/>
            <w:right w:val="none" w:sz="0" w:space="0" w:color="auto"/>
          </w:divBdr>
        </w:div>
        <w:div w:id="1346905850">
          <w:marLeft w:val="0"/>
          <w:marRight w:val="0"/>
          <w:marTop w:val="0"/>
          <w:marBottom w:val="0"/>
          <w:divBdr>
            <w:top w:val="none" w:sz="0" w:space="0" w:color="auto"/>
            <w:left w:val="none" w:sz="0" w:space="0" w:color="auto"/>
            <w:bottom w:val="none" w:sz="0" w:space="0" w:color="auto"/>
            <w:right w:val="none" w:sz="0" w:space="0" w:color="auto"/>
          </w:divBdr>
        </w:div>
        <w:div w:id="1550140940">
          <w:marLeft w:val="0"/>
          <w:marRight w:val="0"/>
          <w:marTop w:val="0"/>
          <w:marBottom w:val="0"/>
          <w:divBdr>
            <w:top w:val="none" w:sz="0" w:space="0" w:color="auto"/>
            <w:left w:val="none" w:sz="0" w:space="0" w:color="auto"/>
            <w:bottom w:val="none" w:sz="0" w:space="0" w:color="auto"/>
            <w:right w:val="none" w:sz="0" w:space="0" w:color="auto"/>
          </w:divBdr>
        </w:div>
        <w:div w:id="1738740760">
          <w:marLeft w:val="0"/>
          <w:marRight w:val="0"/>
          <w:marTop w:val="0"/>
          <w:marBottom w:val="0"/>
          <w:divBdr>
            <w:top w:val="none" w:sz="0" w:space="0" w:color="auto"/>
            <w:left w:val="none" w:sz="0" w:space="0" w:color="auto"/>
            <w:bottom w:val="none" w:sz="0" w:space="0" w:color="auto"/>
            <w:right w:val="none" w:sz="0" w:space="0" w:color="auto"/>
          </w:divBdr>
        </w:div>
        <w:div w:id="1617977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2020-04-26T13:20:00Z</dcterms:created>
  <dcterms:modified xsi:type="dcterms:W3CDTF">2020-04-26T13:20:00Z</dcterms:modified>
</cp:coreProperties>
</file>