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A3E" w:rsidRPr="00124A3E" w:rsidRDefault="00124A3E" w:rsidP="00124A3E">
      <w:pPr>
        <w:jc w:val="center"/>
        <w:rPr>
          <w:sz w:val="32"/>
          <w:szCs w:val="32"/>
        </w:rPr>
      </w:pPr>
      <w:bookmarkStart w:id="0" w:name="Anchor1"/>
      <w:bookmarkEnd w:id="0"/>
      <w:r w:rsidRPr="00124A3E">
        <w:rPr>
          <w:sz w:val="32"/>
          <w:szCs w:val="32"/>
          <w:rtl/>
        </w:rPr>
        <w:t xml:space="preserve">الطعن رقم </w:t>
      </w:r>
      <w:bookmarkStart w:id="1" w:name="_GoBack"/>
      <w:bookmarkEnd w:id="1"/>
      <w:r w:rsidRPr="00124A3E">
        <w:rPr>
          <w:sz w:val="32"/>
          <w:szCs w:val="32"/>
        </w:rPr>
        <w:t>905/2013</w:t>
      </w:r>
    </w:p>
    <w:p w:rsidR="00124A3E" w:rsidRPr="00124A3E" w:rsidRDefault="00124A3E" w:rsidP="00124A3E">
      <w:pPr>
        <w:rPr>
          <w:sz w:val="32"/>
          <w:szCs w:val="32"/>
        </w:rPr>
      </w:pPr>
      <w:bookmarkStart w:id="2" w:name="Anchor7"/>
      <w:bookmarkEnd w:id="2"/>
      <w:r w:rsidRPr="00124A3E">
        <w:rPr>
          <w:sz w:val="32"/>
          <w:szCs w:val="32"/>
          <w:rtl/>
        </w:rPr>
        <w:t>هيئة المحكمة</w:t>
      </w:r>
      <w:r w:rsidRPr="00124A3E">
        <w:rPr>
          <w:sz w:val="32"/>
          <w:szCs w:val="32"/>
        </w:rPr>
        <w:t xml:space="preserve">: </w:t>
      </w:r>
      <w:r w:rsidRPr="00124A3E">
        <w:rPr>
          <w:sz w:val="32"/>
          <w:szCs w:val="32"/>
          <w:rtl/>
        </w:rPr>
        <w:t>برئاسة السيد المستشار عبدالهادي العطار وكيل المحكمة وعضوية السادة المستشارين يحيي موميه ومحمود عطا ومحمود عبداللطيف وناصر مشالي</w:t>
      </w:r>
    </w:p>
    <w:bookmarkStart w:id="3" w:name="Anchor24"/>
    <w:bookmarkEnd w:id="3"/>
    <w:p w:rsidR="00124A3E" w:rsidRPr="00124A3E" w:rsidRDefault="00124A3E" w:rsidP="00124A3E">
      <w:pPr>
        <w:rPr>
          <w:sz w:val="32"/>
          <w:szCs w:val="32"/>
        </w:rPr>
      </w:pPr>
      <w:r w:rsidRPr="00124A3E">
        <w:rPr>
          <w:sz w:val="32"/>
          <w:szCs w:val="32"/>
        </w:rPr>
        <w:fldChar w:fldCharType="begin"/>
      </w:r>
      <w:r w:rsidRPr="00124A3E">
        <w:rPr>
          <w:sz w:val="32"/>
          <w:szCs w:val="32"/>
        </w:rPr>
        <w:instrText xml:space="preserve"> HYPERLINK "http://www.law.gov.kw/KWT_CC-Ar/00_2014/00_%D8%A7%D9%84%D8%AF%D8%A7%D8%A6%D8%B1%D8%A9%20%D8%A7%D9%84%D8%AA%D8%AC%D8%A7%D8%B1%D9%8A%D8%A9/KWT-CC-Ar_2014-06-25_00905_Taan.html" \l "TM2014_905_1" </w:instrText>
      </w:r>
      <w:r w:rsidRPr="00124A3E">
        <w:rPr>
          <w:sz w:val="32"/>
          <w:szCs w:val="32"/>
        </w:rPr>
        <w:fldChar w:fldCharType="separate"/>
      </w:r>
      <w:r w:rsidRPr="00124A3E">
        <w:rPr>
          <w:rStyle w:val="Hyperlink"/>
          <w:sz w:val="32"/>
          <w:szCs w:val="32"/>
        </w:rPr>
        <w:t xml:space="preserve">1 – </w:t>
      </w:r>
      <w:r w:rsidRPr="00124A3E">
        <w:rPr>
          <w:rStyle w:val="Hyperlink"/>
          <w:sz w:val="32"/>
          <w:szCs w:val="32"/>
          <w:rtl/>
        </w:rPr>
        <w:t>ان على محكمة الموضوع بحث كل طلب او دفاع يقدم امامها بشكل جازم ويترتب عليه تغيير وجه الرأي في الدعوى</w:t>
      </w:r>
      <w:r w:rsidRPr="00124A3E">
        <w:rPr>
          <w:rStyle w:val="Hyperlink"/>
          <w:sz w:val="32"/>
          <w:szCs w:val="32"/>
        </w:rPr>
        <w:t>.</w:t>
      </w:r>
      <w:r w:rsidRPr="00124A3E">
        <w:rPr>
          <w:sz w:val="32"/>
          <w:szCs w:val="32"/>
        </w:rPr>
        <w:fldChar w:fldCharType="end"/>
      </w:r>
    </w:p>
    <w:bookmarkStart w:id="4" w:name="Anchor35"/>
    <w:bookmarkEnd w:id="4"/>
    <w:p w:rsidR="00124A3E" w:rsidRPr="00124A3E" w:rsidRDefault="00124A3E" w:rsidP="00124A3E">
      <w:pPr>
        <w:rPr>
          <w:sz w:val="32"/>
          <w:szCs w:val="32"/>
        </w:rPr>
      </w:pPr>
      <w:r w:rsidRPr="00124A3E">
        <w:rPr>
          <w:sz w:val="32"/>
          <w:szCs w:val="32"/>
        </w:rPr>
        <w:fldChar w:fldCharType="begin"/>
      </w:r>
      <w:r w:rsidRPr="00124A3E">
        <w:rPr>
          <w:sz w:val="32"/>
          <w:szCs w:val="32"/>
        </w:rPr>
        <w:instrText xml:space="preserve"> HYPERLINK "http://www.law.gov.kw/KWT_CC-Ar/00_2014/00_%D8%A7%D9%84%D8%AF%D8%A7%D8%A6%D8%B1%D8%A9%20%D8%A7%D9%84%D8%AA%D8%AC%D8%A7%D8%B1%D9%8A%D8%A9/KWT-CC-Ar_2014-06-25_00905_Taan.html" \l "TM2014_905_2" </w:instrText>
      </w:r>
      <w:r w:rsidRPr="00124A3E">
        <w:rPr>
          <w:sz w:val="32"/>
          <w:szCs w:val="32"/>
        </w:rPr>
        <w:fldChar w:fldCharType="separate"/>
      </w:r>
      <w:r w:rsidRPr="00124A3E">
        <w:rPr>
          <w:rStyle w:val="Hyperlink"/>
          <w:sz w:val="32"/>
          <w:szCs w:val="32"/>
        </w:rPr>
        <w:t xml:space="preserve">2 – </w:t>
      </w:r>
      <w:r w:rsidRPr="00124A3E">
        <w:rPr>
          <w:rStyle w:val="Hyperlink"/>
          <w:sz w:val="32"/>
          <w:szCs w:val="32"/>
          <w:rtl/>
        </w:rPr>
        <w:t>ان تعيين خبير في الدعوى مسألة متروكة لمحكمة الموضوع اذ لها ان ترفض طلب تعيين خبير شرط بيان سبب ذلك في حكمها</w:t>
      </w:r>
      <w:r w:rsidRPr="00124A3E">
        <w:rPr>
          <w:rStyle w:val="Hyperlink"/>
          <w:sz w:val="32"/>
          <w:szCs w:val="32"/>
        </w:rPr>
        <w:t>.</w:t>
      </w:r>
      <w:r w:rsidRPr="00124A3E">
        <w:rPr>
          <w:sz w:val="32"/>
          <w:szCs w:val="32"/>
        </w:rPr>
        <w:fldChar w:fldCharType="end"/>
      </w:r>
    </w:p>
    <w:bookmarkStart w:id="5" w:name="Anchor47"/>
    <w:bookmarkEnd w:id="5"/>
    <w:p w:rsidR="00124A3E" w:rsidRPr="00124A3E" w:rsidRDefault="00124A3E" w:rsidP="00124A3E">
      <w:pPr>
        <w:rPr>
          <w:sz w:val="32"/>
          <w:szCs w:val="32"/>
        </w:rPr>
      </w:pPr>
      <w:r w:rsidRPr="00124A3E">
        <w:rPr>
          <w:sz w:val="32"/>
          <w:szCs w:val="32"/>
        </w:rPr>
        <w:fldChar w:fldCharType="begin"/>
      </w:r>
      <w:r w:rsidRPr="00124A3E">
        <w:rPr>
          <w:sz w:val="32"/>
          <w:szCs w:val="32"/>
        </w:rPr>
        <w:instrText xml:space="preserve"> HYPERLINK "http://www.law.gov.kw/KWT_CC-Ar/00_2014/00_%D8%A7%D9%84%D8%AF%D8%A7%D8%A6%D8%B1%D8%A9%20%D8%A7%D9%84%D8%AA%D8%AC%D8%A7%D8%B1%D9%8A%D8%A9/KWT-CC-Ar_2014-06-25_00905_Taan.html" \l "TM2014_905_3" </w:instrText>
      </w:r>
      <w:r w:rsidRPr="00124A3E">
        <w:rPr>
          <w:sz w:val="32"/>
          <w:szCs w:val="32"/>
        </w:rPr>
        <w:fldChar w:fldCharType="separate"/>
      </w:r>
      <w:r w:rsidRPr="00124A3E">
        <w:rPr>
          <w:rStyle w:val="Hyperlink"/>
          <w:sz w:val="32"/>
          <w:szCs w:val="32"/>
        </w:rPr>
        <w:t xml:space="preserve">3 – </w:t>
      </w:r>
      <w:r w:rsidRPr="00124A3E">
        <w:rPr>
          <w:rStyle w:val="Hyperlink"/>
          <w:sz w:val="32"/>
          <w:szCs w:val="32"/>
          <w:rtl/>
        </w:rPr>
        <w:t>ان الحكم الذي انتهى الى رفض طلب الخصم تعيين طبيب شرعي في الدعوى لبيان ما اذا كانت إصابته مشمولة بتغطية وثيقة التأمين وتصل الى العجز الكلي هو حكم معيب بالإخلال بحق الدفاع والقصور في التسبيب</w:t>
      </w:r>
      <w:r w:rsidRPr="00124A3E">
        <w:rPr>
          <w:rStyle w:val="Hyperlink"/>
          <w:sz w:val="32"/>
          <w:szCs w:val="32"/>
        </w:rPr>
        <w:t>.</w:t>
      </w:r>
      <w:r w:rsidRPr="00124A3E">
        <w:rPr>
          <w:sz w:val="32"/>
          <w:szCs w:val="32"/>
        </w:rPr>
        <w:fldChar w:fldCharType="end"/>
      </w:r>
      <w:r w:rsidRPr="00124A3E">
        <w:rPr>
          <w:sz w:val="32"/>
          <w:szCs w:val="32"/>
        </w:rPr>
        <w:br/>
      </w:r>
      <w:r w:rsidRPr="00124A3E">
        <w:rPr>
          <w:sz w:val="32"/>
          <w:szCs w:val="32"/>
        </w:rPr>
        <w:br/>
      </w:r>
      <w:r w:rsidRPr="00124A3E">
        <w:rPr>
          <w:sz w:val="32"/>
          <w:szCs w:val="32"/>
          <w:u w:val="single"/>
          <w:rtl/>
        </w:rPr>
        <w:t>ملاحظة</w:t>
      </w:r>
      <w:r w:rsidRPr="00124A3E">
        <w:rPr>
          <w:sz w:val="32"/>
          <w:szCs w:val="32"/>
          <w:u w:val="single"/>
        </w:rPr>
        <w:t xml:space="preserve"> :</w:t>
      </w:r>
      <w:r w:rsidRPr="00124A3E">
        <w:rPr>
          <w:sz w:val="32"/>
          <w:szCs w:val="32"/>
        </w:rPr>
        <w:br/>
      </w:r>
      <w:r w:rsidRPr="00124A3E">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124A3E" w:rsidRPr="00124A3E" w:rsidRDefault="00124A3E" w:rsidP="00124A3E">
      <w:pPr>
        <w:rPr>
          <w:sz w:val="32"/>
          <w:szCs w:val="32"/>
        </w:rPr>
      </w:pPr>
      <w:bookmarkStart w:id="6" w:name="Anchor67"/>
      <w:bookmarkEnd w:id="6"/>
      <w:r w:rsidRPr="00124A3E">
        <w:rPr>
          <w:b/>
          <w:bCs/>
          <w:sz w:val="32"/>
          <w:szCs w:val="32"/>
          <w:rtl/>
        </w:rPr>
        <w:t>المحكمة</w:t>
      </w:r>
    </w:p>
    <w:p w:rsidR="00124A3E" w:rsidRPr="00124A3E" w:rsidRDefault="00124A3E" w:rsidP="00124A3E">
      <w:pPr>
        <w:rPr>
          <w:sz w:val="32"/>
          <w:szCs w:val="32"/>
        </w:rPr>
      </w:pPr>
      <w:bookmarkStart w:id="7" w:name="Anchor68"/>
      <w:bookmarkEnd w:id="7"/>
      <w:r w:rsidRPr="00124A3E">
        <w:rPr>
          <w:sz w:val="32"/>
          <w:szCs w:val="32"/>
          <w:rtl/>
        </w:rPr>
        <w:t>بعد الإطلاع على الأوراق وسماع المرافعة وبعد المداولة</w:t>
      </w:r>
      <w:r w:rsidRPr="00124A3E">
        <w:rPr>
          <w:sz w:val="32"/>
          <w:szCs w:val="32"/>
        </w:rPr>
        <w:t xml:space="preserve">. </w:t>
      </w:r>
    </w:p>
    <w:p w:rsidR="00124A3E" w:rsidRPr="00124A3E" w:rsidRDefault="00124A3E" w:rsidP="00124A3E">
      <w:pPr>
        <w:rPr>
          <w:sz w:val="32"/>
          <w:szCs w:val="32"/>
        </w:rPr>
      </w:pPr>
      <w:bookmarkStart w:id="8" w:name="Anchor75"/>
      <w:bookmarkEnd w:id="8"/>
      <w:r w:rsidRPr="00124A3E">
        <w:rPr>
          <w:sz w:val="32"/>
          <w:szCs w:val="32"/>
          <w:rtl/>
        </w:rPr>
        <w:t>حيث إن الطعن استوفى أوضاعه الشكلية</w:t>
      </w:r>
      <w:r w:rsidRPr="00124A3E">
        <w:rPr>
          <w:sz w:val="32"/>
          <w:szCs w:val="32"/>
        </w:rPr>
        <w:t xml:space="preserve">. </w:t>
      </w:r>
    </w:p>
    <w:p w:rsidR="00124A3E" w:rsidRPr="00124A3E" w:rsidRDefault="00124A3E" w:rsidP="00124A3E">
      <w:pPr>
        <w:rPr>
          <w:sz w:val="32"/>
          <w:szCs w:val="32"/>
        </w:rPr>
      </w:pPr>
      <w:bookmarkStart w:id="9" w:name="Anchor80"/>
      <w:bookmarkEnd w:id="9"/>
      <w:r w:rsidRPr="00124A3E">
        <w:rPr>
          <w:sz w:val="32"/>
          <w:szCs w:val="32"/>
          <w:rtl/>
        </w:rPr>
        <w:t>وحيث إن الوقائع</w:t>
      </w:r>
      <w:r w:rsidRPr="00124A3E">
        <w:rPr>
          <w:sz w:val="32"/>
          <w:szCs w:val="32"/>
        </w:rPr>
        <w:t xml:space="preserve">- </w:t>
      </w:r>
      <w:r w:rsidRPr="00124A3E">
        <w:rPr>
          <w:sz w:val="32"/>
          <w:szCs w:val="32"/>
          <w:rtl/>
        </w:rPr>
        <w:t xml:space="preserve">على ما يبين من الحكم المطعون فيه وسائر أوراق الدعوى- تتحصل في أن الطاعن أقام على المطعون ضدهما الدعوى رقم 5869 لسنة 2009 تجاري كلي/1 قال فيها أنه بموجب عقد قرض أسرة المؤرخ 2002/7/9 تحصل من المطعون ضده الأول بصفته على مبلغ 35000.00 د.ك بفائدة 4% فوق سعر الخصم المعلن من البنك المركزي وإذ تعرض لإصابته الموصوفة بالتقارير الطبية التي أعجزته عن العمل فأقام الدعوى طالباً إلزام المطعون ضدهما بتقديم صورة من وثيقة التأمين المتعلقة بالقرض سالف البيان وملف القرض لدى المطعون ضده الأول مع ندب لجنة طبية من وزارة الصحة لتوقيع الكشف الطبي على الطاعن لبيان إصابته وما إذا كانت تندرج ضمن حالات العجز الكل الدائم وفقاً لمفهوم الغطاء التأميني للقرض من عدمه تمهيداً لطلب إعفائه من سداد باقي القرض ندبت المحكمة لجنة طبية من وزارة الصحة وبعد أن أودعت تقريرها طلب الطاعن </w:t>
      </w:r>
      <w:r w:rsidRPr="00124A3E">
        <w:rPr>
          <w:sz w:val="32"/>
          <w:szCs w:val="32"/>
          <w:rtl/>
        </w:rPr>
        <w:lastRenderedPageBreak/>
        <w:t>القضاء أصلياً بإعفائه من سداد باقي المديونية موضوع القرض وإثبات براءة ذمته من إلتزاماته قبل المطعون ضدهما بخصوص القرض واحتياطياً. 1</w:t>
      </w:r>
      <w:r w:rsidRPr="00124A3E">
        <w:rPr>
          <w:sz w:val="32"/>
          <w:szCs w:val="32"/>
        </w:rPr>
        <w:t xml:space="preserve">- </w:t>
      </w:r>
      <w:r w:rsidRPr="00124A3E">
        <w:rPr>
          <w:sz w:val="32"/>
          <w:szCs w:val="32"/>
          <w:rtl/>
        </w:rPr>
        <w:t>إعمال الأثر القانوني المترتب على العجز الجزئي الدائم بافتراض إندراج حالته تحت مفهومه ومن ثم إعفاءه من القرض في حدود السنة الثانية ورد ماعسى أن يكون قد قام بسداده زيادة عن قيمة التأمين المقررة وفقاً لحالته المرضية. 2</w:t>
      </w:r>
      <w:r w:rsidRPr="00124A3E">
        <w:rPr>
          <w:sz w:val="32"/>
          <w:szCs w:val="32"/>
        </w:rPr>
        <w:t xml:space="preserve">- </w:t>
      </w:r>
      <w:r w:rsidRPr="00124A3E">
        <w:rPr>
          <w:sz w:val="32"/>
          <w:szCs w:val="32"/>
          <w:rtl/>
        </w:rPr>
        <w:t>إحالة الدعوى إلى إدارة الخبراء لتحديد المستحق من قيمة التأمين في ضوء حالته المرضية الثابتة بالتقارير الطبية وإجراء المقاصة بين ما قام بسداده من القرض وما هو مستحق وفقاً لنسبة العجز الدائم لديه. ندبت المحكمة اللجنة الطبية السابقة وبعد أن أودعت تقريرها طلب الطاعن ندب إدارة الطب الشرعي لتوقيع الكشف الطبي عليه وبيان حالته المرضية في ضوء التقارير الطبية المقررة المقدمة في الدعوى وكتاب المجلس الطبي العام</w:t>
      </w:r>
      <w:r w:rsidRPr="00124A3E">
        <w:rPr>
          <w:sz w:val="32"/>
          <w:szCs w:val="32"/>
        </w:rPr>
        <w:t xml:space="preserve">. </w:t>
      </w:r>
      <w:r w:rsidRPr="00124A3E">
        <w:rPr>
          <w:sz w:val="32"/>
          <w:szCs w:val="32"/>
          <w:rtl/>
        </w:rPr>
        <w:t>وبتاريخ 2012/12/30 حكمت المحكمة برفض الدعوى</w:t>
      </w:r>
      <w:r w:rsidRPr="00124A3E">
        <w:rPr>
          <w:sz w:val="32"/>
          <w:szCs w:val="32"/>
        </w:rPr>
        <w:t xml:space="preserve">. </w:t>
      </w:r>
      <w:r w:rsidRPr="00124A3E">
        <w:rPr>
          <w:sz w:val="32"/>
          <w:szCs w:val="32"/>
          <w:rtl/>
        </w:rPr>
        <w:t>استأنف الطاعن هذا الحكم بالاستئناف رقم 457 لسنة 2013 تجاري/6 وبتاريخ 2013/3/28 قضت المحكمة بتأييد الحكم المستأنف. طعن الطاعن في هذا الحكم بطريق التمييز وأودعت النيابة مذكرة أبدت فيها الرأي برفض الطعن</w:t>
      </w:r>
      <w:r w:rsidRPr="00124A3E">
        <w:rPr>
          <w:sz w:val="32"/>
          <w:szCs w:val="32"/>
        </w:rPr>
        <w:t xml:space="preserve">. </w:t>
      </w:r>
      <w:r w:rsidRPr="00124A3E">
        <w:rPr>
          <w:sz w:val="32"/>
          <w:szCs w:val="32"/>
          <w:rtl/>
        </w:rPr>
        <w:t>وإذ عرض الطعن على هذه المحكمة في غرفة مشورة حددت جلسة لنظره وفيها إلتزمت النيابة رأيها</w:t>
      </w:r>
      <w:r w:rsidRPr="00124A3E">
        <w:rPr>
          <w:sz w:val="32"/>
          <w:szCs w:val="32"/>
        </w:rPr>
        <w:t xml:space="preserve">. </w:t>
      </w:r>
    </w:p>
    <w:p w:rsidR="00124A3E" w:rsidRPr="00124A3E" w:rsidRDefault="00124A3E" w:rsidP="00124A3E">
      <w:pPr>
        <w:rPr>
          <w:sz w:val="32"/>
          <w:szCs w:val="32"/>
        </w:rPr>
      </w:pPr>
      <w:bookmarkStart w:id="10" w:name="Anchor248"/>
      <w:bookmarkEnd w:id="10"/>
      <w:r w:rsidRPr="00124A3E">
        <w:rPr>
          <w:sz w:val="32"/>
          <w:szCs w:val="32"/>
          <w:rtl/>
        </w:rPr>
        <w:t>وحيث إن مما ينعاه الطاعن على الحكم المطعون فيه القصور في التسبيب والإخلال بحق الدفاع ومخالفة الثابت بالأوراق وفي بيان ذلك يقول أن محكمة الاستئناف لم تطالع مستندات الدعوى وما تضمنته التقارير الطبية من أن حالته تشكل عجزاً دائماً بنسبة تقدر بأكثر من 66% من قدرة الجسم وأنه أحيل للتقاعد من عمله نتيجة الإصابة التي تعرض لها ومنعته من الاستمرار في ممارسة عمله وإذ تعذر على اللجنة الطبية المشكلة لفحص حالته القيام بالمأمورية فتمسك بطلب ندب إدارة الطب الشرعي لبيان حالته المرضية من واقع التقارير الطبية المقدمة في الدعوى وكتاب المجلس الطبي العام وتوقيع الكشف الطبي عليه إلا أن الحكم المطعون فيه قضى في الدعوى دون الاستجابة لطلباته وبعكس الثابت بالأوراق مما يعيبه ويستوجب تمييزه</w:t>
      </w:r>
      <w:r w:rsidRPr="00124A3E">
        <w:rPr>
          <w:sz w:val="32"/>
          <w:szCs w:val="32"/>
        </w:rPr>
        <w:t xml:space="preserve">. </w:t>
      </w:r>
    </w:p>
    <w:p w:rsidR="00124A3E" w:rsidRPr="00124A3E" w:rsidRDefault="00124A3E" w:rsidP="00124A3E">
      <w:pPr>
        <w:rPr>
          <w:sz w:val="32"/>
          <w:szCs w:val="32"/>
        </w:rPr>
      </w:pPr>
      <w:bookmarkStart w:id="11" w:name="Anchor313"/>
      <w:bookmarkEnd w:id="11"/>
      <w:r w:rsidRPr="00124A3E">
        <w:rPr>
          <w:sz w:val="32"/>
          <w:szCs w:val="32"/>
          <w:rtl/>
        </w:rPr>
        <w:t xml:space="preserve">وحيث إن هذا النعي في محله، ذلك أن </w:t>
      </w:r>
      <w:bookmarkStart w:id="12" w:name="TM2014_905_1"/>
      <w:bookmarkEnd w:id="12"/>
      <w:r w:rsidRPr="00124A3E">
        <w:rPr>
          <w:b/>
          <w:bCs/>
          <w:sz w:val="32"/>
          <w:szCs w:val="32"/>
          <w:rtl/>
        </w:rPr>
        <w:t>كل طلب أو وجه دفاع يُدلي به لدى محكمة الموضوع ويطلب منها بطريق الجزم أن تفصل فيه ويكون الفصل فيه مما يترتب عليه تغيير وجه الرأي في الدعوى على محكمة الموضوع أن تجيب عليه بأسباب خاصة وإلا اعتبر حكمها خالياً من الأسباب يتعين تمييزه،</w:t>
      </w:r>
      <w:r w:rsidRPr="00124A3E">
        <w:rPr>
          <w:sz w:val="32"/>
          <w:szCs w:val="32"/>
          <w:rtl/>
        </w:rPr>
        <w:t xml:space="preserve"> وإنه </w:t>
      </w:r>
      <w:bookmarkStart w:id="13" w:name="TM2014_905_2"/>
      <w:bookmarkEnd w:id="13"/>
      <w:r w:rsidRPr="00124A3E">
        <w:rPr>
          <w:b/>
          <w:bCs/>
          <w:sz w:val="32"/>
          <w:szCs w:val="32"/>
          <w:rtl/>
        </w:rPr>
        <w:t xml:space="preserve">وإن كان من المقرر في قضاء هذه المحكمة </w:t>
      </w:r>
      <w:r w:rsidRPr="00124A3E">
        <w:rPr>
          <w:b/>
          <w:bCs/>
          <w:sz w:val="32"/>
          <w:szCs w:val="32"/>
        </w:rPr>
        <w:t xml:space="preserve">– </w:t>
      </w:r>
      <w:r w:rsidRPr="00124A3E">
        <w:rPr>
          <w:b/>
          <w:bCs/>
          <w:sz w:val="32"/>
          <w:szCs w:val="32"/>
          <w:rtl/>
        </w:rPr>
        <w:t>أن ندب الخبير ليس حقاً للخصوم يتحتم إجابتهم إليه في كل حالة بل أمره متروك لمحكمة الموضوع التي لها أن ترفض الإجابة إليه على أن تبين في حكمها الأسباب التي أعتمدت عليها في رفضه، إلا أن لمحكمة التمييز أن تبسط رقابتها متى كانت الأسباب التي بني عليها الحكم لا تؤدي إلى ما انتهى إليه</w:t>
      </w:r>
      <w:r w:rsidRPr="00124A3E">
        <w:rPr>
          <w:b/>
          <w:bCs/>
          <w:sz w:val="32"/>
          <w:szCs w:val="32"/>
        </w:rPr>
        <w:t xml:space="preserve">. </w:t>
      </w:r>
    </w:p>
    <w:p w:rsidR="00124A3E" w:rsidRPr="00124A3E" w:rsidRDefault="00124A3E" w:rsidP="00124A3E">
      <w:pPr>
        <w:rPr>
          <w:sz w:val="32"/>
          <w:szCs w:val="32"/>
        </w:rPr>
      </w:pPr>
      <w:bookmarkStart w:id="14" w:name="Anchor369"/>
      <w:bookmarkStart w:id="15" w:name="TM2014_905_3"/>
      <w:bookmarkEnd w:id="14"/>
      <w:bookmarkEnd w:id="15"/>
      <w:r w:rsidRPr="00124A3E">
        <w:rPr>
          <w:b/>
          <w:bCs/>
          <w:sz w:val="32"/>
          <w:szCs w:val="32"/>
          <w:rtl/>
        </w:rPr>
        <w:t>لما كان ذلك وكان الطاعن قد تمسك في دفاعه أمام محكمة الموضوع بدرجتيها بأن إصابته تندرج ضمن حالات العجز التي تغطيها وثيقة التأمين الصادرة من الشركة المطعون ضدها الثانية وركن في إثبات دفاعه إلى طلب ندب الإدارة العامة للأدلة الجنائية</w:t>
      </w:r>
      <w:r w:rsidRPr="00124A3E">
        <w:rPr>
          <w:b/>
          <w:bCs/>
          <w:sz w:val="32"/>
          <w:szCs w:val="32"/>
        </w:rPr>
        <w:t xml:space="preserve">- </w:t>
      </w:r>
      <w:r w:rsidRPr="00124A3E">
        <w:rPr>
          <w:b/>
          <w:bCs/>
          <w:sz w:val="32"/>
          <w:szCs w:val="32"/>
          <w:rtl/>
        </w:rPr>
        <w:t>إدارة الطب الشرعي</w:t>
      </w:r>
      <w:r w:rsidRPr="00124A3E">
        <w:rPr>
          <w:b/>
          <w:bCs/>
          <w:sz w:val="32"/>
          <w:szCs w:val="32"/>
        </w:rPr>
        <w:t xml:space="preserve">- </w:t>
      </w:r>
      <w:r w:rsidRPr="00124A3E">
        <w:rPr>
          <w:b/>
          <w:bCs/>
          <w:sz w:val="32"/>
          <w:szCs w:val="32"/>
          <w:rtl/>
        </w:rPr>
        <w:t xml:space="preserve">للاطلاع على المستندات وتوقيع الكشف الطبي عليه لبيان ما إذا كانت إصابته تغطيها وثيقة التأمين من عدمه وكانت محكمة الاستئناف قد أيدت حكم أول درجة برفض الدعوى وأطرحت دفاعه على سند أن تقرير اللجنة الطبية حدد حالته بأنها إصابة تزيد عن </w:t>
      </w:r>
      <w:r w:rsidRPr="00124A3E">
        <w:rPr>
          <w:b/>
          <w:bCs/>
          <w:sz w:val="32"/>
          <w:szCs w:val="32"/>
        </w:rPr>
        <w:t xml:space="preserve">66% </w:t>
      </w:r>
      <w:r w:rsidRPr="00124A3E">
        <w:rPr>
          <w:b/>
          <w:bCs/>
          <w:sz w:val="32"/>
          <w:szCs w:val="32"/>
          <w:rtl/>
        </w:rPr>
        <w:t>ولم يذكر أنها تصل إلى العجز الكلي وأن الأوراق قد خلت من أن الطاعن لم يداوم على عمله مدة تزيد على سنة وكان هذا من الحكم المطعون فيه لا يسوغ رفض طلب الطاعن ندب الطب الشرعي لبيان ما آلت إليه حالته من عجز كلي دائم يمنعه من القيام بأي عمل يتكسب منه ولا يصلح رداً على دفاعه الوارد بالنعي بما يعيب الحكم المطعون فيه ويوجب تمييزه لهذا السبب ودون حاجة لبحث باقي أسباب الطعن</w:t>
      </w:r>
      <w:r w:rsidRPr="00124A3E">
        <w:rPr>
          <w:b/>
          <w:bCs/>
          <w:sz w:val="32"/>
          <w:szCs w:val="32"/>
        </w:rPr>
        <w:t xml:space="preserve">. </w:t>
      </w:r>
    </w:p>
    <w:p w:rsidR="00124A3E" w:rsidRPr="00124A3E" w:rsidRDefault="00124A3E" w:rsidP="00124A3E">
      <w:pPr>
        <w:rPr>
          <w:sz w:val="32"/>
          <w:szCs w:val="32"/>
        </w:rPr>
      </w:pPr>
      <w:bookmarkStart w:id="16" w:name="Anchor446"/>
      <w:bookmarkEnd w:id="16"/>
      <w:r w:rsidRPr="00124A3E">
        <w:rPr>
          <w:sz w:val="32"/>
          <w:szCs w:val="32"/>
          <w:rtl/>
        </w:rPr>
        <w:t>وحيث إن موضوع الاستئناف فهو غير صالح للفصل فيه وترى المحكمة إظهاراً لوجه الحق وقبل الفصل في الموضوع ندب الإدارة العامة للأدلة الجنائية</w:t>
      </w:r>
      <w:r w:rsidRPr="00124A3E">
        <w:rPr>
          <w:sz w:val="32"/>
          <w:szCs w:val="32"/>
        </w:rPr>
        <w:t xml:space="preserve">- </w:t>
      </w:r>
      <w:r w:rsidRPr="00124A3E">
        <w:rPr>
          <w:sz w:val="32"/>
          <w:szCs w:val="32"/>
          <w:rtl/>
        </w:rPr>
        <w:t xml:space="preserve">إدارة الطب الشرعي </w:t>
      </w:r>
      <w:r w:rsidRPr="00124A3E">
        <w:rPr>
          <w:sz w:val="32"/>
          <w:szCs w:val="32"/>
        </w:rPr>
        <w:t xml:space="preserve">– </w:t>
      </w:r>
      <w:r w:rsidRPr="00124A3E">
        <w:rPr>
          <w:sz w:val="32"/>
          <w:szCs w:val="32"/>
          <w:rtl/>
        </w:rPr>
        <w:t>خبيراً لأداء المأمورية المبينة بمنطوق هذا الحكم</w:t>
      </w:r>
      <w:r w:rsidRPr="00124A3E">
        <w:rPr>
          <w:sz w:val="32"/>
          <w:szCs w:val="32"/>
        </w:rPr>
        <w:t xml:space="preserve">. </w:t>
      </w:r>
    </w:p>
    <w:p w:rsidR="00124A3E" w:rsidRPr="00124A3E" w:rsidRDefault="00124A3E" w:rsidP="00124A3E">
      <w:pPr>
        <w:rPr>
          <w:sz w:val="32"/>
          <w:szCs w:val="32"/>
        </w:rPr>
      </w:pPr>
      <w:bookmarkStart w:id="17" w:name="Anchor468"/>
      <w:bookmarkEnd w:id="17"/>
      <w:r w:rsidRPr="00124A3E">
        <w:rPr>
          <w:sz w:val="32"/>
          <w:szCs w:val="32"/>
          <w:rtl/>
        </w:rPr>
        <w:t>فلهذه الأسباب</w:t>
      </w:r>
    </w:p>
    <w:p w:rsidR="00124A3E" w:rsidRPr="00124A3E" w:rsidRDefault="00124A3E" w:rsidP="00124A3E">
      <w:pPr>
        <w:rPr>
          <w:sz w:val="32"/>
          <w:szCs w:val="32"/>
        </w:rPr>
      </w:pPr>
      <w:bookmarkStart w:id="18" w:name="Anchor470"/>
      <w:bookmarkEnd w:id="18"/>
      <w:r w:rsidRPr="00124A3E">
        <w:rPr>
          <w:sz w:val="32"/>
          <w:szCs w:val="32"/>
          <w:rtl/>
        </w:rPr>
        <w:t>حكمت المحكمة أولاً:- بقبول الطعن شكلاً وفي الموضوع بتمييز الحكم المطعون فيه وألزمت المطعون ضدهما بصفتيهما المصروفات وعشرين ديناراً مقابل أتعاب المحاماة</w:t>
      </w:r>
      <w:r w:rsidRPr="00124A3E">
        <w:rPr>
          <w:sz w:val="32"/>
          <w:szCs w:val="32"/>
        </w:rPr>
        <w:t xml:space="preserve">. </w:t>
      </w:r>
    </w:p>
    <w:p w:rsidR="00124A3E" w:rsidRPr="00124A3E" w:rsidRDefault="00124A3E" w:rsidP="00124A3E">
      <w:pPr>
        <w:rPr>
          <w:sz w:val="32"/>
          <w:szCs w:val="32"/>
        </w:rPr>
      </w:pPr>
      <w:bookmarkStart w:id="19" w:name="Anchor486"/>
      <w:bookmarkEnd w:id="19"/>
      <w:r w:rsidRPr="00124A3E">
        <w:rPr>
          <w:sz w:val="32"/>
          <w:szCs w:val="32"/>
          <w:rtl/>
        </w:rPr>
        <w:t>ثانياً</w:t>
      </w:r>
      <w:r w:rsidRPr="00124A3E">
        <w:rPr>
          <w:sz w:val="32"/>
          <w:szCs w:val="32"/>
        </w:rPr>
        <w:t xml:space="preserve">:- </w:t>
      </w:r>
      <w:r w:rsidRPr="00124A3E">
        <w:rPr>
          <w:sz w:val="32"/>
          <w:szCs w:val="32"/>
          <w:rtl/>
        </w:rPr>
        <w:t xml:space="preserve">وقبل الفصل في موضوع الاستئناف رقم 457 لسنة 2013 تجاري/6 بندب الإدارة العامة للأدلة الجنائية </w:t>
      </w:r>
      <w:r w:rsidRPr="00124A3E">
        <w:rPr>
          <w:sz w:val="32"/>
          <w:szCs w:val="32"/>
        </w:rPr>
        <w:t xml:space="preserve">– </w:t>
      </w:r>
      <w:r w:rsidRPr="00124A3E">
        <w:rPr>
          <w:sz w:val="32"/>
          <w:szCs w:val="32"/>
          <w:rtl/>
        </w:rPr>
        <w:t>إدارة الطب الشرعي</w:t>
      </w:r>
      <w:r w:rsidRPr="00124A3E">
        <w:rPr>
          <w:sz w:val="32"/>
          <w:szCs w:val="32"/>
        </w:rPr>
        <w:t xml:space="preserve">- </w:t>
      </w:r>
      <w:r w:rsidRPr="00124A3E">
        <w:rPr>
          <w:sz w:val="32"/>
          <w:szCs w:val="32"/>
          <w:rtl/>
        </w:rPr>
        <w:t xml:space="preserve">خبيراً في الدعوى لتوقيع الكشف الطبي على المستأنف </w:t>
      </w:r>
      <w:r w:rsidRPr="00124A3E">
        <w:rPr>
          <w:sz w:val="32"/>
          <w:szCs w:val="32"/>
        </w:rPr>
        <w:t xml:space="preserve">– ................. </w:t>
      </w:r>
      <w:r w:rsidRPr="00124A3E">
        <w:rPr>
          <w:sz w:val="32"/>
          <w:szCs w:val="32"/>
          <w:rtl/>
        </w:rPr>
        <w:t>لبيان تاريخ ونوع وسبب إصابته وما آلت إليه هذه الإصابة وما إذا كان قد تخلف عنها عجز من عدمه وفي حالة العجز بيان سببه ونسبته من قدرة الجسم وما إذا كان عجزاً جزئياً دائماً أم عجزاً كلياً دائماً ومدى تأثير هذا العجز على قدرته على ممارسة أي عمل ينكسب منه ومدة ذلك، توصلاً لبيان ما إذا كانت حالته تغطيها وثيقة التأمين سند دعواه من عدمه</w:t>
      </w:r>
      <w:r w:rsidRPr="00124A3E">
        <w:rPr>
          <w:sz w:val="32"/>
          <w:szCs w:val="32"/>
        </w:rPr>
        <w:t xml:space="preserve">. </w:t>
      </w:r>
      <w:r w:rsidRPr="00124A3E">
        <w:rPr>
          <w:sz w:val="32"/>
          <w:szCs w:val="32"/>
          <w:rtl/>
        </w:rPr>
        <w:t>وصرحت للسيد الطبيب الشرعي الاطلاع على أوراق الدعوى ومستنداتها وما عسى أن يقدمه الخصوم له من مستندات وسماع أقوال الخصوم ومن يرى سماع أقواله بغير حلف يمين والاطلاع لدى أي جهة حكومية أو غير حكومية على ما يرى لزوم الاطلاع عليه من مستندات في نطاق المأمورية الموكوله إليه وعلى المستأنف إيداع مبلغ مائة دينار خزانة المحكمة على ذمة أتعاب الخبير تصرف له دون إجراءات وحددت يوم 2014/9/10 لنظر الدعوى بحالتها حالة سداد الأمانة وجلسة 2014/9/24 لحضور الطاعن لدى الطب الشرعي، وجلسة 2014/10/29 لايداع التقرير وأرجاءت الفصل في المصروفات وعلى إدارة الكتاب إعلان الغائب من الخصوم بمنطوق الحكم</w:t>
      </w:r>
      <w:r w:rsidRPr="00124A3E">
        <w:rPr>
          <w:sz w:val="32"/>
          <w:szCs w:val="32"/>
        </w:rPr>
        <w:t xml:space="preserve">. </w:t>
      </w:r>
    </w:p>
    <w:p w:rsidR="00124A3E" w:rsidRPr="00124A3E" w:rsidRDefault="00124A3E" w:rsidP="00124A3E">
      <w:pPr>
        <w:rPr>
          <w:sz w:val="32"/>
          <w:szCs w:val="32"/>
        </w:rPr>
      </w:pPr>
    </w:p>
    <w:p w:rsidR="00124A3E" w:rsidRPr="00124A3E" w:rsidRDefault="00124A3E" w:rsidP="00124A3E">
      <w:pPr>
        <w:rPr>
          <w:sz w:val="32"/>
          <w:szCs w:val="32"/>
        </w:rPr>
      </w:pPr>
      <w:bookmarkStart w:id="20" w:name="Anchor588"/>
      <w:bookmarkEnd w:id="20"/>
      <w:r w:rsidRPr="00124A3E">
        <w:rPr>
          <w:sz w:val="32"/>
          <w:szCs w:val="32"/>
        </w:rPr>
        <w:t>* * *</w:t>
      </w:r>
    </w:p>
    <w:p w:rsidR="008C2BA0" w:rsidRPr="00124A3E" w:rsidRDefault="008C2BA0">
      <w:pPr>
        <w:rPr>
          <w:sz w:val="32"/>
          <w:szCs w:val="32"/>
        </w:rPr>
      </w:pPr>
    </w:p>
    <w:sectPr w:rsidR="008C2BA0" w:rsidRPr="00124A3E"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E1"/>
    <w:rsid w:val="0003272B"/>
    <w:rsid w:val="00124A3E"/>
    <w:rsid w:val="008C2BA0"/>
    <w:rsid w:val="008C7B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A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A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1729">
      <w:bodyDiv w:val="1"/>
      <w:marLeft w:val="0"/>
      <w:marRight w:val="0"/>
      <w:marTop w:val="0"/>
      <w:marBottom w:val="0"/>
      <w:divBdr>
        <w:top w:val="none" w:sz="0" w:space="0" w:color="auto"/>
        <w:left w:val="none" w:sz="0" w:space="0" w:color="auto"/>
        <w:bottom w:val="none" w:sz="0" w:space="0" w:color="auto"/>
        <w:right w:val="none" w:sz="0" w:space="0" w:color="auto"/>
      </w:divBdr>
      <w:divsChild>
        <w:div w:id="2009752558">
          <w:marLeft w:val="0"/>
          <w:marRight w:val="0"/>
          <w:marTop w:val="0"/>
          <w:marBottom w:val="0"/>
          <w:divBdr>
            <w:top w:val="none" w:sz="0" w:space="0" w:color="auto"/>
            <w:left w:val="none" w:sz="0" w:space="0" w:color="auto"/>
            <w:bottom w:val="none" w:sz="0" w:space="0" w:color="auto"/>
            <w:right w:val="none" w:sz="0" w:space="0" w:color="auto"/>
          </w:divBdr>
        </w:div>
        <w:div w:id="1081415156">
          <w:marLeft w:val="0"/>
          <w:marRight w:val="0"/>
          <w:marTop w:val="0"/>
          <w:marBottom w:val="0"/>
          <w:divBdr>
            <w:top w:val="none" w:sz="0" w:space="0" w:color="auto"/>
            <w:left w:val="none" w:sz="0" w:space="0" w:color="auto"/>
            <w:bottom w:val="none" w:sz="0" w:space="0" w:color="auto"/>
            <w:right w:val="none" w:sz="0" w:space="0" w:color="auto"/>
          </w:divBdr>
        </w:div>
        <w:div w:id="1022896696">
          <w:marLeft w:val="0"/>
          <w:marRight w:val="0"/>
          <w:marTop w:val="0"/>
          <w:marBottom w:val="0"/>
          <w:divBdr>
            <w:top w:val="none" w:sz="0" w:space="0" w:color="auto"/>
            <w:left w:val="none" w:sz="0" w:space="0" w:color="auto"/>
            <w:bottom w:val="none" w:sz="0" w:space="0" w:color="auto"/>
            <w:right w:val="none" w:sz="0" w:space="0" w:color="auto"/>
          </w:divBdr>
        </w:div>
        <w:div w:id="1010832283">
          <w:marLeft w:val="0"/>
          <w:marRight w:val="0"/>
          <w:marTop w:val="0"/>
          <w:marBottom w:val="0"/>
          <w:divBdr>
            <w:top w:val="none" w:sz="0" w:space="0" w:color="auto"/>
            <w:left w:val="none" w:sz="0" w:space="0" w:color="auto"/>
            <w:bottom w:val="none" w:sz="0" w:space="0" w:color="auto"/>
            <w:right w:val="none" w:sz="0" w:space="0" w:color="auto"/>
          </w:divBdr>
        </w:div>
        <w:div w:id="877624559">
          <w:marLeft w:val="0"/>
          <w:marRight w:val="0"/>
          <w:marTop w:val="0"/>
          <w:marBottom w:val="0"/>
          <w:divBdr>
            <w:top w:val="none" w:sz="0" w:space="0" w:color="auto"/>
            <w:left w:val="none" w:sz="0" w:space="0" w:color="auto"/>
            <w:bottom w:val="none" w:sz="0" w:space="0" w:color="auto"/>
            <w:right w:val="none" w:sz="0" w:space="0" w:color="auto"/>
          </w:divBdr>
        </w:div>
        <w:div w:id="427584537">
          <w:marLeft w:val="0"/>
          <w:marRight w:val="0"/>
          <w:marTop w:val="0"/>
          <w:marBottom w:val="0"/>
          <w:divBdr>
            <w:top w:val="none" w:sz="0" w:space="0" w:color="auto"/>
            <w:left w:val="none" w:sz="0" w:space="0" w:color="auto"/>
            <w:bottom w:val="none" w:sz="0" w:space="0" w:color="auto"/>
            <w:right w:val="none" w:sz="0" w:space="0" w:color="auto"/>
          </w:divBdr>
        </w:div>
        <w:div w:id="303658411">
          <w:marLeft w:val="0"/>
          <w:marRight w:val="0"/>
          <w:marTop w:val="0"/>
          <w:marBottom w:val="0"/>
          <w:divBdr>
            <w:top w:val="none" w:sz="0" w:space="0" w:color="auto"/>
            <w:left w:val="none" w:sz="0" w:space="0" w:color="auto"/>
            <w:bottom w:val="none" w:sz="0" w:space="0" w:color="auto"/>
            <w:right w:val="none" w:sz="0" w:space="0" w:color="auto"/>
          </w:divBdr>
        </w:div>
        <w:div w:id="1268586433">
          <w:marLeft w:val="0"/>
          <w:marRight w:val="0"/>
          <w:marTop w:val="0"/>
          <w:marBottom w:val="0"/>
          <w:divBdr>
            <w:top w:val="none" w:sz="0" w:space="0" w:color="auto"/>
            <w:left w:val="none" w:sz="0" w:space="0" w:color="auto"/>
            <w:bottom w:val="none" w:sz="0" w:space="0" w:color="auto"/>
            <w:right w:val="none" w:sz="0" w:space="0" w:color="auto"/>
          </w:divBdr>
        </w:div>
        <w:div w:id="1273247526">
          <w:marLeft w:val="0"/>
          <w:marRight w:val="0"/>
          <w:marTop w:val="0"/>
          <w:marBottom w:val="0"/>
          <w:divBdr>
            <w:top w:val="none" w:sz="0" w:space="0" w:color="auto"/>
            <w:left w:val="none" w:sz="0" w:space="0" w:color="auto"/>
            <w:bottom w:val="none" w:sz="0" w:space="0" w:color="auto"/>
            <w:right w:val="none" w:sz="0" w:space="0" w:color="auto"/>
          </w:divBdr>
        </w:div>
        <w:div w:id="949050472">
          <w:marLeft w:val="0"/>
          <w:marRight w:val="0"/>
          <w:marTop w:val="0"/>
          <w:marBottom w:val="0"/>
          <w:divBdr>
            <w:top w:val="none" w:sz="0" w:space="0" w:color="auto"/>
            <w:left w:val="none" w:sz="0" w:space="0" w:color="auto"/>
            <w:bottom w:val="none" w:sz="0" w:space="0" w:color="auto"/>
            <w:right w:val="none" w:sz="0" w:space="0" w:color="auto"/>
          </w:divBdr>
        </w:div>
        <w:div w:id="762606041">
          <w:marLeft w:val="0"/>
          <w:marRight w:val="0"/>
          <w:marTop w:val="0"/>
          <w:marBottom w:val="0"/>
          <w:divBdr>
            <w:top w:val="none" w:sz="0" w:space="0" w:color="auto"/>
            <w:left w:val="none" w:sz="0" w:space="0" w:color="auto"/>
            <w:bottom w:val="none" w:sz="0" w:space="0" w:color="auto"/>
            <w:right w:val="none" w:sz="0" w:space="0" w:color="auto"/>
          </w:divBdr>
        </w:div>
        <w:div w:id="999773999">
          <w:marLeft w:val="0"/>
          <w:marRight w:val="0"/>
          <w:marTop w:val="0"/>
          <w:marBottom w:val="0"/>
          <w:divBdr>
            <w:top w:val="none" w:sz="0" w:space="0" w:color="auto"/>
            <w:left w:val="none" w:sz="0" w:space="0" w:color="auto"/>
            <w:bottom w:val="none" w:sz="0" w:space="0" w:color="auto"/>
            <w:right w:val="none" w:sz="0" w:space="0" w:color="auto"/>
          </w:divBdr>
        </w:div>
        <w:div w:id="1171991883">
          <w:marLeft w:val="0"/>
          <w:marRight w:val="0"/>
          <w:marTop w:val="0"/>
          <w:marBottom w:val="0"/>
          <w:divBdr>
            <w:top w:val="none" w:sz="0" w:space="0" w:color="auto"/>
            <w:left w:val="none" w:sz="0" w:space="0" w:color="auto"/>
            <w:bottom w:val="none" w:sz="0" w:space="0" w:color="auto"/>
            <w:right w:val="none" w:sz="0" w:space="0" w:color="auto"/>
          </w:divBdr>
        </w:div>
        <w:div w:id="770517406">
          <w:marLeft w:val="0"/>
          <w:marRight w:val="0"/>
          <w:marTop w:val="0"/>
          <w:marBottom w:val="0"/>
          <w:divBdr>
            <w:top w:val="none" w:sz="0" w:space="0" w:color="auto"/>
            <w:left w:val="none" w:sz="0" w:space="0" w:color="auto"/>
            <w:bottom w:val="none" w:sz="0" w:space="0" w:color="auto"/>
            <w:right w:val="none" w:sz="0" w:space="0" w:color="auto"/>
          </w:divBdr>
        </w:div>
        <w:div w:id="953093928">
          <w:marLeft w:val="0"/>
          <w:marRight w:val="0"/>
          <w:marTop w:val="0"/>
          <w:marBottom w:val="0"/>
          <w:divBdr>
            <w:top w:val="none" w:sz="0" w:space="0" w:color="auto"/>
            <w:left w:val="none" w:sz="0" w:space="0" w:color="auto"/>
            <w:bottom w:val="none" w:sz="0" w:space="0" w:color="auto"/>
            <w:right w:val="none" w:sz="0" w:space="0" w:color="auto"/>
          </w:divBdr>
        </w:div>
        <w:div w:id="2045057412">
          <w:marLeft w:val="0"/>
          <w:marRight w:val="0"/>
          <w:marTop w:val="0"/>
          <w:marBottom w:val="0"/>
          <w:divBdr>
            <w:top w:val="none" w:sz="0" w:space="0" w:color="auto"/>
            <w:left w:val="none" w:sz="0" w:space="0" w:color="auto"/>
            <w:bottom w:val="none" w:sz="0" w:space="0" w:color="auto"/>
            <w:right w:val="none" w:sz="0" w:space="0" w:color="auto"/>
          </w:divBdr>
        </w:div>
        <w:div w:id="2088962736">
          <w:marLeft w:val="0"/>
          <w:marRight w:val="0"/>
          <w:marTop w:val="0"/>
          <w:marBottom w:val="0"/>
          <w:divBdr>
            <w:top w:val="none" w:sz="0" w:space="0" w:color="auto"/>
            <w:left w:val="none" w:sz="0" w:space="0" w:color="auto"/>
            <w:bottom w:val="none" w:sz="0" w:space="0" w:color="auto"/>
            <w:right w:val="none" w:sz="0" w:space="0" w:color="auto"/>
          </w:divBdr>
        </w:div>
      </w:divsChild>
    </w:div>
    <w:div w:id="1444152577">
      <w:bodyDiv w:val="1"/>
      <w:marLeft w:val="0"/>
      <w:marRight w:val="0"/>
      <w:marTop w:val="0"/>
      <w:marBottom w:val="0"/>
      <w:divBdr>
        <w:top w:val="none" w:sz="0" w:space="0" w:color="auto"/>
        <w:left w:val="none" w:sz="0" w:space="0" w:color="auto"/>
        <w:bottom w:val="none" w:sz="0" w:space="0" w:color="auto"/>
        <w:right w:val="none" w:sz="0" w:space="0" w:color="auto"/>
      </w:divBdr>
      <w:divsChild>
        <w:div w:id="944923732">
          <w:marLeft w:val="0"/>
          <w:marRight w:val="0"/>
          <w:marTop w:val="0"/>
          <w:marBottom w:val="0"/>
          <w:divBdr>
            <w:top w:val="none" w:sz="0" w:space="0" w:color="auto"/>
            <w:left w:val="none" w:sz="0" w:space="0" w:color="auto"/>
            <w:bottom w:val="none" w:sz="0" w:space="0" w:color="auto"/>
            <w:right w:val="none" w:sz="0" w:space="0" w:color="auto"/>
          </w:divBdr>
        </w:div>
        <w:div w:id="392243578">
          <w:marLeft w:val="0"/>
          <w:marRight w:val="0"/>
          <w:marTop w:val="0"/>
          <w:marBottom w:val="0"/>
          <w:divBdr>
            <w:top w:val="none" w:sz="0" w:space="0" w:color="auto"/>
            <w:left w:val="none" w:sz="0" w:space="0" w:color="auto"/>
            <w:bottom w:val="none" w:sz="0" w:space="0" w:color="auto"/>
            <w:right w:val="none" w:sz="0" w:space="0" w:color="auto"/>
          </w:divBdr>
        </w:div>
        <w:div w:id="1005783379">
          <w:marLeft w:val="0"/>
          <w:marRight w:val="0"/>
          <w:marTop w:val="0"/>
          <w:marBottom w:val="0"/>
          <w:divBdr>
            <w:top w:val="none" w:sz="0" w:space="0" w:color="auto"/>
            <w:left w:val="none" w:sz="0" w:space="0" w:color="auto"/>
            <w:bottom w:val="none" w:sz="0" w:space="0" w:color="auto"/>
            <w:right w:val="none" w:sz="0" w:space="0" w:color="auto"/>
          </w:divBdr>
        </w:div>
        <w:div w:id="1077437713">
          <w:marLeft w:val="0"/>
          <w:marRight w:val="0"/>
          <w:marTop w:val="0"/>
          <w:marBottom w:val="0"/>
          <w:divBdr>
            <w:top w:val="none" w:sz="0" w:space="0" w:color="auto"/>
            <w:left w:val="none" w:sz="0" w:space="0" w:color="auto"/>
            <w:bottom w:val="none" w:sz="0" w:space="0" w:color="auto"/>
            <w:right w:val="none" w:sz="0" w:space="0" w:color="auto"/>
          </w:divBdr>
        </w:div>
        <w:div w:id="1924682557">
          <w:marLeft w:val="0"/>
          <w:marRight w:val="0"/>
          <w:marTop w:val="0"/>
          <w:marBottom w:val="0"/>
          <w:divBdr>
            <w:top w:val="none" w:sz="0" w:space="0" w:color="auto"/>
            <w:left w:val="none" w:sz="0" w:space="0" w:color="auto"/>
            <w:bottom w:val="none" w:sz="0" w:space="0" w:color="auto"/>
            <w:right w:val="none" w:sz="0" w:space="0" w:color="auto"/>
          </w:divBdr>
        </w:div>
        <w:div w:id="1710035094">
          <w:marLeft w:val="0"/>
          <w:marRight w:val="0"/>
          <w:marTop w:val="0"/>
          <w:marBottom w:val="0"/>
          <w:divBdr>
            <w:top w:val="none" w:sz="0" w:space="0" w:color="auto"/>
            <w:left w:val="none" w:sz="0" w:space="0" w:color="auto"/>
            <w:bottom w:val="none" w:sz="0" w:space="0" w:color="auto"/>
            <w:right w:val="none" w:sz="0" w:space="0" w:color="auto"/>
          </w:divBdr>
        </w:div>
        <w:div w:id="1196117178">
          <w:marLeft w:val="0"/>
          <w:marRight w:val="0"/>
          <w:marTop w:val="0"/>
          <w:marBottom w:val="0"/>
          <w:divBdr>
            <w:top w:val="none" w:sz="0" w:space="0" w:color="auto"/>
            <w:left w:val="none" w:sz="0" w:space="0" w:color="auto"/>
            <w:bottom w:val="none" w:sz="0" w:space="0" w:color="auto"/>
            <w:right w:val="none" w:sz="0" w:space="0" w:color="auto"/>
          </w:divBdr>
        </w:div>
        <w:div w:id="448160363">
          <w:marLeft w:val="0"/>
          <w:marRight w:val="0"/>
          <w:marTop w:val="0"/>
          <w:marBottom w:val="0"/>
          <w:divBdr>
            <w:top w:val="none" w:sz="0" w:space="0" w:color="auto"/>
            <w:left w:val="none" w:sz="0" w:space="0" w:color="auto"/>
            <w:bottom w:val="none" w:sz="0" w:space="0" w:color="auto"/>
            <w:right w:val="none" w:sz="0" w:space="0" w:color="auto"/>
          </w:divBdr>
        </w:div>
        <w:div w:id="916330388">
          <w:marLeft w:val="0"/>
          <w:marRight w:val="0"/>
          <w:marTop w:val="0"/>
          <w:marBottom w:val="0"/>
          <w:divBdr>
            <w:top w:val="none" w:sz="0" w:space="0" w:color="auto"/>
            <w:left w:val="none" w:sz="0" w:space="0" w:color="auto"/>
            <w:bottom w:val="none" w:sz="0" w:space="0" w:color="auto"/>
            <w:right w:val="none" w:sz="0" w:space="0" w:color="auto"/>
          </w:divBdr>
        </w:div>
        <w:div w:id="448859740">
          <w:marLeft w:val="0"/>
          <w:marRight w:val="0"/>
          <w:marTop w:val="0"/>
          <w:marBottom w:val="0"/>
          <w:divBdr>
            <w:top w:val="none" w:sz="0" w:space="0" w:color="auto"/>
            <w:left w:val="none" w:sz="0" w:space="0" w:color="auto"/>
            <w:bottom w:val="none" w:sz="0" w:space="0" w:color="auto"/>
            <w:right w:val="none" w:sz="0" w:space="0" w:color="auto"/>
          </w:divBdr>
        </w:div>
        <w:div w:id="1712610868">
          <w:marLeft w:val="0"/>
          <w:marRight w:val="0"/>
          <w:marTop w:val="0"/>
          <w:marBottom w:val="0"/>
          <w:divBdr>
            <w:top w:val="none" w:sz="0" w:space="0" w:color="auto"/>
            <w:left w:val="none" w:sz="0" w:space="0" w:color="auto"/>
            <w:bottom w:val="none" w:sz="0" w:space="0" w:color="auto"/>
            <w:right w:val="none" w:sz="0" w:space="0" w:color="auto"/>
          </w:divBdr>
        </w:div>
        <w:div w:id="110248456">
          <w:marLeft w:val="0"/>
          <w:marRight w:val="0"/>
          <w:marTop w:val="0"/>
          <w:marBottom w:val="0"/>
          <w:divBdr>
            <w:top w:val="none" w:sz="0" w:space="0" w:color="auto"/>
            <w:left w:val="none" w:sz="0" w:space="0" w:color="auto"/>
            <w:bottom w:val="none" w:sz="0" w:space="0" w:color="auto"/>
            <w:right w:val="none" w:sz="0" w:space="0" w:color="auto"/>
          </w:divBdr>
        </w:div>
        <w:div w:id="1065181074">
          <w:marLeft w:val="0"/>
          <w:marRight w:val="0"/>
          <w:marTop w:val="0"/>
          <w:marBottom w:val="0"/>
          <w:divBdr>
            <w:top w:val="none" w:sz="0" w:space="0" w:color="auto"/>
            <w:left w:val="none" w:sz="0" w:space="0" w:color="auto"/>
            <w:bottom w:val="none" w:sz="0" w:space="0" w:color="auto"/>
            <w:right w:val="none" w:sz="0" w:space="0" w:color="auto"/>
          </w:divBdr>
        </w:div>
        <w:div w:id="374745012">
          <w:marLeft w:val="0"/>
          <w:marRight w:val="0"/>
          <w:marTop w:val="0"/>
          <w:marBottom w:val="0"/>
          <w:divBdr>
            <w:top w:val="none" w:sz="0" w:space="0" w:color="auto"/>
            <w:left w:val="none" w:sz="0" w:space="0" w:color="auto"/>
            <w:bottom w:val="none" w:sz="0" w:space="0" w:color="auto"/>
            <w:right w:val="none" w:sz="0" w:space="0" w:color="auto"/>
          </w:divBdr>
        </w:div>
        <w:div w:id="910969160">
          <w:marLeft w:val="0"/>
          <w:marRight w:val="0"/>
          <w:marTop w:val="0"/>
          <w:marBottom w:val="0"/>
          <w:divBdr>
            <w:top w:val="none" w:sz="0" w:space="0" w:color="auto"/>
            <w:left w:val="none" w:sz="0" w:space="0" w:color="auto"/>
            <w:bottom w:val="none" w:sz="0" w:space="0" w:color="auto"/>
            <w:right w:val="none" w:sz="0" w:space="0" w:color="auto"/>
          </w:divBdr>
        </w:div>
        <w:div w:id="2045866027">
          <w:marLeft w:val="0"/>
          <w:marRight w:val="0"/>
          <w:marTop w:val="0"/>
          <w:marBottom w:val="0"/>
          <w:divBdr>
            <w:top w:val="none" w:sz="0" w:space="0" w:color="auto"/>
            <w:left w:val="none" w:sz="0" w:space="0" w:color="auto"/>
            <w:bottom w:val="none" w:sz="0" w:space="0" w:color="auto"/>
            <w:right w:val="none" w:sz="0" w:space="0" w:color="auto"/>
          </w:divBdr>
        </w:div>
        <w:div w:id="1216623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1030</Words>
  <Characters>5872</Characters>
  <Application>Microsoft Office Word</Application>
  <DocSecurity>0</DocSecurity>
  <Lines>48</Lines>
  <Paragraphs>13</Paragraphs>
  <ScaleCrop>false</ScaleCrop>
  <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2020-04-26T11:45:00Z</dcterms:created>
  <dcterms:modified xsi:type="dcterms:W3CDTF">2020-04-26T11:45:00Z</dcterms:modified>
</cp:coreProperties>
</file>