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346" w:rsidRPr="00177346" w:rsidRDefault="00177346" w:rsidP="00177346">
      <w:pPr>
        <w:jc w:val="center"/>
        <w:rPr>
          <w:sz w:val="32"/>
          <w:szCs w:val="32"/>
        </w:rPr>
      </w:pPr>
      <w:bookmarkStart w:id="0" w:name="Anchor1"/>
      <w:bookmarkEnd w:id="0"/>
      <w:r w:rsidRPr="00177346">
        <w:rPr>
          <w:sz w:val="32"/>
          <w:szCs w:val="32"/>
          <w:rtl/>
        </w:rPr>
        <w:t xml:space="preserve">الطعن رقم </w:t>
      </w:r>
      <w:r w:rsidRPr="00177346">
        <w:rPr>
          <w:sz w:val="32"/>
          <w:szCs w:val="32"/>
        </w:rPr>
        <w:t>956/2</w:t>
      </w:r>
      <w:bookmarkStart w:id="1" w:name="_GoBack"/>
      <w:bookmarkEnd w:id="1"/>
      <w:r w:rsidRPr="00177346">
        <w:rPr>
          <w:sz w:val="32"/>
          <w:szCs w:val="32"/>
        </w:rPr>
        <w:t>013</w:t>
      </w:r>
    </w:p>
    <w:p w:rsidR="00177346" w:rsidRPr="00177346" w:rsidRDefault="00177346" w:rsidP="00177346">
      <w:pPr>
        <w:rPr>
          <w:sz w:val="32"/>
          <w:szCs w:val="32"/>
        </w:rPr>
      </w:pPr>
      <w:bookmarkStart w:id="2" w:name="Anchor7"/>
      <w:bookmarkEnd w:id="2"/>
      <w:r w:rsidRPr="00177346">
        <w:rPr>
          <w:sz w:val="32"/>
          <w:szCs w:val="32"/>
          <w:rtl/>
        </w:rPr>
        <w:t>هيئة المحكمة</w:t>
      </w:r>
      <w:r w:rsidRPr="00177346">
        <w:rPr>
          <w:sz w:val="32"/>
          <w:szCs w:val="32"/>
        </w:rPr>
        <w:t xml:space="preserve">: </w:t>
      </w:r>
      <w:r w:rsidRPr="00177346">
        <w:rPr>
          <w:sz w:val="32"/>
          <w:szCs w:val="32"/>
          <w:rtl/>
        </w:rPr>
        <w:t>برئاسة السيد المستشار يونس محمد الياسين رئيس الجلسة وعضوية السادة المستشارين عادل علي البحوه ومحمد أحمد رشدي وهشام فراويلة وثروت نصر الدين</w:t>
      </w:r>
    </w:p>
    <w:bookmarkStart w:id="3" w:name="Anchor24"/>
    <w:bookmarkEnd w:id="3"/>
    <w:p w:rsidR="00177346" w:rsidRPr="00177346" w:rsidRDefault="00177346" w:rsidP="00177346">
      <w:pPr>
        <w:rPr>
          <w:sz w:val="32"/>
          <w:szCs w:val="32"/>
        </w:rPr>
      </w:pPr>
      <w:r w:rsidRPr="00177346">
        <w:rPr>
          <w:sz w:val="32"/>
          <w:szCs w:val="32"/>
        </w:rPr>
        <w:fldChar w:fldCharType="begin"/>
      </w:r>
      <w:r w:rsidRPr="00177346">
        <w:rPr>
          <w:sz w:val="32"/>
          <w:szCs w:val="32"/>
        </w:rPr>
        <w:instrText xml:space="preserve"> HYPERLINK "http://www.law.gov.kw/KWT_CC-Ar/00_2014/00_%D8%A7%D9%84%D8%AF%D8%A7%D8%A6%D8%B1%D8%A9%20%D8%A7%D9%84%D8%AA%D8%AC%D8%A7%D8%B1%D9%8A%D8%A9/KWT-CC-Ar_2014-06-08_00956_Taan.html" \l "TM2014_956_1" </w:instrText>
      </w:r>
      <w:r w:rsidRPr="00177346">
        <w:rPr>
          <w:sz w:val="32"/>
          <w:szCs w:val="32"/>
        </w:rPr>
        <w:fldChar w:fldCharType="separate"/>
      </w:r>
      <w:r w:rsidRPr="00177346">
        <w:rPr>
          <w:rStyle w:val="Hyperlink"/>
          <w:sz w:val="32"/>
          <w:szCs w:val="32"/>
        </w:rPr>
        <w:t xml:space="preserve">1- </w:t>
      </w:r>
      <w:r w:rsidRPr="00177346">
        <w:rPr>
          <w:rStyle w:val="Hyperlink"/>
          <w:sz w:val="32"/>
          <w:szCs w:val="32"/>
          <w:rtl/>
        </w:rPr>
        <w:t>إن العقد شريعة المتعاقدين فيعتبر بمثابة قانون خاص الى عاقديه وان كان منشأه الاتفاق وتكون أحكامه تبعاً لذلك هي المرجع في تحديد حقوق والتزامات كلّ من طرفيه قبل الآخر</w:t>
      </w:r>
      <w:r w:rsidRPr="00177346">
        <w:rPr>
          <w:sz w:val="32"/>
          <w:szCs w:val="32"/>
        </w:rPr>
        <w:fldChar w:fldCharType="end"/>
      </w:r>
      <w:r w:rsidRPr="00177346">
        <w:rPr>
          <w:sz w:val="32"/>
          <w:szCs w:val="32"/>
        </w:rPr>
        <w:t xml:space="preserve"> </w:t>
      </w:r>
    </w:p>
    <w:bookmarkStart w:id="4" w:name="Anchor43"/>
    <w:bookmarkEnd w:id="4"/>
    <w:p w:rsidR="00177346" w:rsidRPr="00177346" w:rsidRDefault="00177346" w:rsidP="00177346">
      <w:pPr>
        <w:rPr>
          <w:sz w:val="32"/>
          <w:szCs w:val="32"/>
        </w:rPr>
      </w:pPr>
      <w:r w:rsidRPr="00177346">
        <w:rPr>
          <w:sz w:val="32"/>
          <w:szCs w:val="32"/>
        </w:rPr>
        <w:fldChar w:fldCharType="begin"/>
      </w:r>
      <w:r w:rsidRPr="00177346">
        <w:rPr>
          <w:sz w:val="32"/>
          <w:szCs w:val="32"/>
        </w:rPr>
        <w:instrText xml:space="preserve"> HYPERLINK "http://www.law.gov.kw/KWT_CC-Ar/00_2014/00_%D8%A7%D9%84%D8%AF%D8%A7%D8%A6%D8%B1%D8%A9%20%D8%A7%D9%84%D8%AA%D8%AC%D8%A7%D8%B1%D9%8A%D8%A9/KWT-CC-Ar_2014-06-08_00956_Taan.html" \l "TM2014_956_2" </w:instrText>
      </w:r>
      <w:r w:rsidRPr="00177346">
        <w:rPr>
          <w:sz w:val="32"/>
          <w:szCs w:val="32"/>
        </w:rPr>
        <w:fldChar w:fldCharType="separate"/>
      </w:r>
      <w:r w:rsidRPr="00177346">
        <w:rPr>
          <w:rStyle w:val="Hyperlink"/>
          <w:sz w:val="32"/>
          <w:szCs w:val="32"/>
        </w:rPr>
        <w:t xml:space="preserve">2- </w:t>
      </w:r>
      <w:r w:rsidRPr="00177346">
        <w:rPr>
          <w:rStyle w:val="Hyperlink"/>
          <w:sz w:val="32"/>
          <w:szCs w:val="32"/>
          <w:rtl/>
        </w:rPr>
        <w:t>ان نطاق ضمان المؤمن يتحدد بالحدود التي تنص عليها وثيقة التأمين وبما ينعقد الاتفاق عليها واذا كانت عبارات العقد واضحة في دلالتها على ما قصدته الارادة المشتركة للمتعاقدين فانها لا تكون في حاجة الى تفسير ووجب على القاضي الأخذ بمعناه الظاهر</w:t>
      </w:r>
      <w:r w:rsidRPr="00177346">
        <w:rPr>
          <w:rStyle w:val="Hyperlink"/>
          <w:sz w:val="32"/>
          <w:szCs w:val="32"/>
        </w:rPr>
        <w:t>.</w:t>
      </w:r>
      <w:r w:rsidRPr="00177346">
        <w:rPr>
          <w:sz w:val="32"/>
          <w:szCs w:val="32"/>
        </w:rPr>
        <w:fldChar w:fldCharType="end"/>
      </w:r>
    </w:p>
    <w:bookmarkStart w:id="5" w:name="Anchor67"/>
    <w:bookmarkEnd w:id="5"/>
    <w:p w:rsidR="00177346" w:rsidRPr="00177346" w:rsidRDefault="00177346" w:rsidP="00177346">
      <w:pPr>
        <w:rPr>
          <w:sz w:val="32"/>
          <w:szCs w:val="32"/>
        </w:rPr>
      </w:pPr>
      <w:r w:rsidRPr="00177346">
        <w:rPr>
          <w:sz w:val="32"/>
          <w:szCs w:val="32"/>
        </w:rPr>
        <w:fldChar w:fldCharType="begin"/>
      </w:r>
      <w:r w:rsidRPr="00177346">
        <w:rPr>
          <w:sz w:val="32"/>
          <w:szCs w:val="32"/>
        </w:rPr>
        <w:instrText xml:space="preserve"> HYPERLINK "http://www.law.gov.kw/KWT_CC-Ar/00_2014/00_%D8%A7%D9%84%D8%AF%D8%A7%D8%A6%D8%B1%D8%A9%20%D8%A7%D9%84%D8%AA%D8%AC%D8%A7%D8%B1%D9%8A%D8%A9/KWT-CC-Ar_2014-06-08_00956_Taan.html" \l "TM2014_956_3" </w:instrText>
      </w:r>
      <w:r w:rsidRPr="00177346">
        <w:rPr>
          <w:sz w:val="32"/>
          <w:szCs w:val="32"/>
        </w:rPr>
        <w:fldChar w:fldCharType="separate"/>
      </w:r>
      <w:r w:rsidRPr="00177346">
        <w:rPr>
          <w:rStyle w:val="Hyperlink"/>
          <w:sz w:val="32"/>
          <w:szCs w:val="32"/>
        </w:rPr>
        <w:t xml:space="preserve">3- </w:t>
      </w:r>
      <w:r w:rsidRPr="00177346">
        <w:rPr>
          <w:rStyle w:val="Hyperlink"/>
          <w:sz w:val="32"/>
          <w:szCs w:val="32"/>
          <w:rtl/>
        </w:rPr>
        <w:t>ان لمحكمة الموضوع السلطة في تحصيل وفهم الواقع في الدعى وتفسير العقود والمحررات التي تقدم اليها واستخلاص ما تراه اوفى بمقصود عاقديها دون معقب عليها متى كان تفسيرها مما تحتمله عباراتها ولا خروج فيه عن المعنى الظاهر لها</w:t>
      </w:r>
      <w:r w:rsidRPr="00177346">
        <w:rPr>
          <w:rStyle w:val="Hyperlink"/>
          <w:sz w:val="32"/>
          <w:szCs w:val="32"/>
        </w:rPr>
        <w:t>.</w:t>
      </w:r>
      <w:r w:rsidRPr="00177346">
        <w:rPr>
          <w:sz w:val="32"/>
          <w:szCs w:val="32"/>
        </w:rPr>
        <w:fldChar w:fldCharType="end"/>
      </w:r>
    </w:p>
    <w:bookmarkStart w:id="6" w:name="Anchor91"/>
    <w:bookmarkEnd w:id="6"/>
    <w:p w:rsidR="00177346" w:rsidRPr="00177346" w:rsidRDefault="00177346" w:rsidP="00177346">
      <w:pPr>
        <w:rPr>
          <w:sz w:val="32"/>
          <w:szCs w:val="32"/>
        </w:rPr>
      </w:pPr>
      <w:r w:rsidRPr="00177346">
        <w:rPr>
          <w:sz w:val="32"/>
          <w:szCs w:val="32"/>
        </w:rPr>
        <w:fldChar w:fldCharType="begin"/>
      </w:r>
      <w:r w:rsidRPr="00177346">
        <w:rPr>
          <w:sz w:val="32"/>
          <w:szCs w:val="32"/>
        </w:rPr>
        <w:instrText xml:space="preserve"> HYPERLINK "http://www.law.gov.kw/KWT_CC-Ar/00_2014/00_%D8%A7%D9%84%D8%AF%D8%A7%D8%A6%D8%B1%D8%A9%20%D8%A7%D9%84%D8%AA%D8%AC%D8%A7%D8%B1%D9%8A%D8%A9/KWT-CC-Ar_2014-06-08_00956_Taan.html" \l "TM2014_956_4" </w:instrText>
      </w:r>
      <w:r w:rsidRPr="00177346">
        <w:rPr>
          <w:sz w:val="32"/>
          <w:szCs w:val="32"/>
        </w:rPr>
        <w:fldChar w:fldCharType="separate"/>
      </w:r>
      <w:r w:rsidRPr="00177346">
        <w:rPr>
          <w:rStyle w:val="Hyperlink"/>
          <w:sz w:val="32"/>
          <w:szCs w:val="32"/>
        </w:rPr>
        <w:t xml:space="preserve">4- </w:t>
      </w:r>
      <w:r w:rsidRPr="00177346">
        <w:rPr>
          <w:rStyle w:val="Hyperlink"/>
          <w:sz w:val="32"/>
          <w:szCs w:val="32"/>
          <w:rtl/>
        </w:rPr>
        <w:t>إن احد المدينين المتضامنين اذا اوفى الدين كله او ما يزيد على حصته فيه يكون له الرجوع على باقي المدينين كل بقدر حصته في الدين او تلك الزيادة</w:t>
      </w:r>
      <w:r w:rsidRPr="00177346">
        <w:rPr>
          <w:rStyle w:val="Hyperlink"/>
          <w:sz w:val="32"/>
          <w:szCs w:val="32"/>
        </w:rPr>
        <w:t>.</w:t>
      </w:r>
      <w:r w:rsidRPr="00177346">
        <w:rPr>
          <w:sz w:val="32"/>
          <w:szCs w:val="32"/>
        </w:rPr>
        <w:fldChar w:fldCharType="end"/>
      </w:r>
    </w:p>
    <w:bookmarkStart w:id="7" w:name="Anchor105"/>
    <w:bookmarkEnd w:id="7"/>
    <w:p w:rsidR="00177346" w:rsidRPr="00177346" w:rsidRDefault="00177346" w:rsidP="00177346">
      <w:pPr>
        <w:rPr>
          <w:sz w:val="32"/>
          <w:szCs w:val="32"/>
        </w:rPr>
      </w:pPr>
      <w:r w:rsidRPr="00177346">
        <w:rPr>
          <w:sz w:val="32"/>
          <w:szCs w:val="32"/>
        </w:rPr>
        <w:fldChar w:fldCharType="begin"/>
      </w:r>
      <w:r w:rsidRPr="00177346">
        <w:rPr>
          <w:sz w:val="32"/>
          <w:szCs w:val="32"/>
        </w:rPr>
        <w:instrText xml:space="preserve"> HYPERLINK "http://www.law.gov.kw/KWT_CC-Ar/00_2014/00_%D8%A7%D9%84%D8%AF%D8%A7%D8%A6%D8%B1%D8%A9%20%D8%A7%D9%84%D8%AA%D8%AC%D8%A7%D8%B1%D9%8A%D8%A9/KWT-CC-Ar_2014-06-08_00956_Taan.html" \l "TM2014_956_5" </w:instrText>
      </w:r>
      <w:r w:rsidRPr="00177346">
        <w:rPr>
          <w:sz w:val="32"/>
          <w:szCs w:val="32"/>
        </w:rPr>
        <w:fldChar w:fldCharType="separate"/>
      </w:r>
      <w:r w:rsidRPr="00177346">
        <w:rPr>
          <w:rStyle w:val="Hyperlink"/>
          <w:sz w:val="32"/>
          <w:szCs w:val="32"/>
        </w:rPr>
        <w:t xml:space="preserve">5- </w:t>
      </w:r>
      <w:r w:rsidRPr="00177346">
        <w:rPr>
          <w:rStyle w:val="Hyperlink"/>
          <w:sz w:val="32"/>
          <w:szCs w:val="32"/>
          <w:rtl/>
        </w:rPr>
        <w:t>إن محكمة الموضوع اذا بنت حكمها على فهم مخالف للثابت باوراق الدعوى يكون حكمها باطلاً متعيناً تمييزه</w:t>
      </w:r>
      <w:r w:rsidRPr="00177346">
        <w:rPr>
          <w:rStyle w:val="Hyperlink"/>
          <w:sz w:val="32"/>
          <w:szCs w:val="32"/>
        </w:rPr>
        <w:t>.</w:t>
      </w:r>
      <w:r w:rsidRPr="00177346">
        <w:rPr>
          <w:sz w:val="32"/>
          <w:szCs w:val="32"/>
        </w:rPr>
        <w:fldChar w:fldCharType="end"/>
      </w:r>
    </w:p>
    <w:bookmarkStart w:id="8" w:name="Anchor117"/>
    <w:bookmarkEnd w:id="8"/>
    <w:p w:rsidR="00177346" w:rsidRPr="00177346" w:rsidRDefault="00177346" w:rsidP="00177346">
      <w:pPr>
        <w:rPr>
          <w:sz w:val="32"/>
          <w:szCs w:val="32"/>
        </w:rPr>
      </w:pPr>
      <w:r w:rsidRPr="00177346">
        <w:rPr>
          <w:sz w:val="32"/>
          <w:szCs w:val="32"/>
        </w:rPr>
        <w:fldChar w:fldCharType="begin"/>
      </w:r>
      <w:r w:rsidRPr="00177346">
        <w:rPr>
          <w:sz w:val="32"/>
          <w:szCs w:val="32"/>
        </w:rPr>
        <w:instrText xml:space="preserve"> HYPERLINK "http://www.law.gov.kw/KWT_CC-Ar/00_2014/00_%D8%A7%D9%84%D8%AF%D8%A7%D8%A6%D8%B1%D8%A9%20%D8%A7%D9%84%D8%AA%D8%AC%D8%A7%D8%B1%D9%8A%D8%A9/KWT-CC-Ar_2014-06-08_00956_Taan.html" \l "TM2014_956_6" </w:instrText>
      </w:r>
      <w:r w:rsidRPr="00177346">
        <w:rPr>
          <w:sz w:val="32"/>
          <w:szCs w:val="32"/>
        </w:rPr>
        <w:fldChar w:fldCharType="separate"/>
      </w:r>
      <w:r w:rsidRPr="00177346">
        <w:rPr>
          <w:rStyle w:val="Hyperlink"/>
          <w:sz w:val="32"/>
          <w:szCs w:val="32"/>
        </w:rPr>
        <w:t xml:space="preserve">6- </w:t>
      </w:r>
      <w:r w:rsidRPr="00177346">
        <w:rPr>
          <w:rStyle w:val="Hyperlink"/>
          <w:sz w:val="32"/>
          <w:szCs w:val="32"/>
          <w:rtl/>
        </w:rPr>
        <w:t>إن الطاعنة قامت بايداع شيك بالمبلغ المقضى به بموجب الحكم السابق شاملاً المصروفات القضائية ادارة التنفيذ فيكون لها حق الرجوع على باقي المدينين معا للمطالبة بما ادته من زيادة عن حصتها</w:t>
      </w:r>
      <w:r w:rsidRPr="00177346">
        <w:rPr>
          <w:rStyle w:val="Hyperlink"/>
          <w:sz w:val="32"/>
          <w:szCs w:val="32"/>
        </w:rPr>
        <w:t>.</w:t>
      </w:r>
      <w:r w:rsidRPr="00177346">
        <w:rPr>
          <w:sz w:val="32"/>
          <w:szCs w:val="32"/>
        </w:rPr>
        <w:fldChar w:fldCharType="end"/>
      </w:r>
    </w:p>
    <w:bookmarkStart w:id="9" w:name="Anchor137"/>
    <w:bookmarkEnd w:id="9"/>
    <w:p w:rsidR="00177346" w:rsidRPr="00177346" w:rsidRDefault="00177346" w:rsidP="00177346">
      <w:pPr>
        <w:rPr>
          <w:sz w:val="32"/>
          <w:szCs w:val="32"/>
        </w:rPr>
      </w:pPr>
      <w:r w:rsidRPr="00177346">
        <w:rPr>
          <w:sz w:val="32"/>
          <w:szCs w:val="32"/>
        </w:rPr>
        <w:fldChar w:fldCharType="begin"/>
      </w:r>
      <w:r w:rsidRPr="00177346">
        <w:rPr>
          <w:sz w:val="32"/>
          <w:szCs w:val="32"/>
        </w:rPr>
        <w:instrText xml:space="preserve"> HYPERLINK "http://www.law.gov.kw/KWT_CC-Ar/00_2014/00_%D8%A7%D9%84%D8%AF%D8%A7%D8%A6%D8%B1%D8%A9%20%D8%A7%D9%84%D8%AA%D8%AC%D8%A7%D8%B1%D9%8A%D8%A9/KWT-CC-Ar_2014-06-08_00956_Taan.html" \l "TM2014_956_7" </w:instrText>
      </w:r>
      <w:r w:rsidRPr="00177346">
        <w:rPr>
          <w:sz w:val="32"/>
          <w:szCs w:val="32"/>
        </w:rPr>
        <w:fldChar w:fldCharType="separate"/>
      </w:r>
      <w:r w:rsidRPr="00177346">
        <w:rPr>
          <w:rStyle w:val="Hyperlink"/>
          <w:sz w:val="32"/>
          <w:szCs w:val="32"/>
        </w:rPr>
        <w:t xml:space="preserve">7- </w:t>
      </w:r>
      <w:r w:rsidRPr="00177346">
        <w:rPr>
          <w:rStyle w:val="Hyperlink"/>
          <w:sz w:val="32"/>
          <w:szCs w:val="32"/>
          <w:rtl/>
        </w:rPr>
        <w:t>إن الضرر اذا حدث نتيجة أخطاء متعددة وقعت من اشخاص كثيرين فان كل واحد منهم يلتزم في مواجهة المضرور بالتعويض كاملاً على سبيل التضامن اما في العلاقة بين هؤلاء المسئولين انفسهم فيتوزع غرم المسئولية بقدر دور خطأ كل منهم في احداث الضرر فان تعذر تحديد هذا الدور وزع عليهم غرم المسئولية بالتساوي</w:t>
      </w:r>
      <w:r w:rsidRPr="00177346">
        <w:rPr>
          <w:rStyle w:val="Hyperlink"/>
          <w:sz w:val="32"/>
          <w:szCs w:val="32"/>
        </w:rPr>
        <w:t>.</w:t>
      </w:r>
      <w:r w:rsidRPr="00177346">
        <w:rPr>
          <w:sz w:val="32"/>
          <w:szCs w:val="32"/>
        </w:rPr>
        <w:fldChar w:fldCharType="end"/>
      </w:r>
      <w:r w:rsidRPr="00177346">
        <w:rPr>
          <w:sz w:val="32"/>
          <w:szCs w:val="32"/>
        </w:rPr>
        <w:br/>
      </w:r>
      <w:r w:rsidRPr="00177346">
        <w:rPr>
          <w:sz w:val="32"/>
          <w:szCs w:val="32"/>
        </w:rPr>
        <w:br/>
      </w:r>
      <w:r w:rsidRPr="00177346">
        <w:rPr>
          <w:sz w:val="32"/>
          <w:szCs w:val="32"/>
          <w:u w:val="single"/>
          <w:rtl/>
        </w:rPr>
        <w:t>ملاحظة</w:t>
      </w:r>
      <w:r w:rsidRPr="00177346">
        <w:rPr>
          <w:sz w:val="32"/>
          <w:szCs w:val="32"/>
          <w:u w:val="single"/>
        </w:rPr>
        <w:t xml:space="preserve"> :</w:t>
      </w:r>
      <w:r w:rsidRPr="00177346">
        <w:rPr>
          <w:sz w:val="32"/>
          <w:szCs w:val="32"/>
        </w:rPr>
        <w:br/>
      </w:r>
      <w:r w:rsidRPr="00177346">
        <w:rPr>
          <w:sz w:val="32"/>
          <w:szCs w:val="32"/>
          <w:rtl/>
        </w:rPr>
        <w:lastRenderedPageBreak/>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177346" w:rsidRPr="00177346" w:rsidRDefault="00177346" w:rsidP="00177346">
      <w:pPr>
        <w:rPr>
          <w:sz w:val="32"/>
          <w:szCs w:val="32"/>
        </w:rPr>
      </w:pPr>
      <w:bookmarkStart w:id="10" w:name="Anchor170"/>
      <w:bookmarkEnd w:id="10"/>
      <w:r w:rsidRPr="00177346">
        <w:rPr>
          <w:b/>
          <w:bCs/>
          <w:sz w:val="32"/>
          <w:szCs w:val="32"/>
          <w:rtl/>
        </w:rPr>
        <w:t>المحكمـــة</w:t>
      </w:r>
    </w:p>
    <w:p w:rsidR="00177346" w:rsidRPr="00177346" w:rsidRDefault="00177346" w:rsidP="00177346">
      <w:pPr>
        <w:rPr>
          <w:sz w:val="32"/>
          <w:szCs w:val="32"/>
        </w:rPr>
      </w:pPr>
      <w:bookmarkStart w:id="11" w:name="Anchor171"/>
      <w:bookmarkEnd w:id="11"/>
      <w:r w:rsidRPr="00177346">
        <w:rPr>
          <w:sz w:val="32"/>
          <w:szCs w:val="32"/>
          <w:rtl/>
        </w:rPr>
        <w:t>بعد الاطلاع على الأوراق وسماع المرافعة، وبعد المداولة</w:t>
      </w:r>
      <w:r w:rsidRPr="00177346">
        <w:rPr>
          <w:sz w:val="32"/>
          <w:szCs w:val="32"/>
        </w:rPr>
        <w:t>.</w:t>
      </w:r>
    </w:p>
    <w:p w:rsidR="00177346" w:rsidRPr="00177346" w:rsidRDefault="00177346" w:rsidP="00177346">
      <w:pPr>
        <w:rPr>
          <w:sz w:val="32"/>
          <w:szCs w:val="32"/>
        </w:rPr>
      </w:pPr>
      <w:bookmarkStart w:id="12" w:name="Anchor178"/>
      <w:bookmarkEnd w:id="12"/>
      <w:r w:rsidRPr="00177346">
        <w:rPr>
          <w:sz w:val="32"/>
          <w:szCs w:val="32"/>
          <w:rtl/>
        </w:rPr>
        <w:t>حيث إن الطعن استوفى أوضاعه الشكلية</w:t>
      </w:r>
      <w:r w:rsidRPr="00177346">
        <w:rPr>
          <w:sz w:val="32"/>
          <w:szCs w:val="32"/>
        </w:rPr>
        <w:t>.</w:t>
      </w:r>
    </w:p>
    <w:p w:rsidR="00177346" w:rsidRPr="00177346" w:rsidRDefault="00177346" w:rsidP="00177346">
      <w:pPr>
        <w:rPr>
          <w:sz w:val="32"/>
          <w:szCs w:val="32"/>
        </w:rPr>
      </w:pPr>
      <w:bookmarkStart w:id="13" w:name="Anchor183"/>
      <w:bookmarkEnd w:id="13"/>
      <w:r w:rsidRPr="00177346">
        <w:rPr>
          <w:sz w:val="32"/>
          <w:szCs w:val="32"/>
          <w:rtl/>
        </w:rPr>
        <w:t xml:space="preserve">وحيث إن الوقائع </w:t>
      </w:r>
      <w:r w:rsidRPr="00177346">
        <w:rPr>
          <w:sz w:val="32"/>
          <w:szCs w:val="32"/>
        </w:rPr>
        <w:t xml:space="preserve">– </w:t>
      </w:r>
      <w:r w:rsidRPr="00177346">
        <w:rPr>
          <w:sz w:val="32"/>
          <w:szCs w:val="32"/>
          <w:rtl/>
        </w:rPr>
        <w:t xml:space="preserve">على ما يبين من الحكم المطعون فيه وسائر الأوراق </w:t>
      </w:r>
      <w:r w:rsidRPr="00177346">
        <w:rPr>
          <w:sz w:val="32"/>
          <w:szCs w:val="32"/>
        </w:rPr>
        <w:t xml:space="preserve">– </w:t>
      </w:r>
      <w:r w:rsidRPr="00177346">
        <w:rPr>
          <w:sz w:val="32"/>
          <w:szCs w:val="32"/>
          <w:rtl/>
        </w:rPr>
        <w:t xml:space="preserve">تتحصل في أن الطاعنين أقاما على المطعون ضدهم الدعوى رقم </w:t>
      </w:r>
      <w:r w:rsidRPr="00177346">
        <w:rPr>
          <w:sz w:val="32"/>
          <w:szCs w:val="32"/>
        </w:rPr>
        <w:t xml:space="preserve">5926 </w:t>
      </w:r>
      <w:r w:rsidRPr="00177346">
        <w:rPr>
          <w:sz w:val="32"/>
          <w:szCs w:val="32"/>
          <w:rtl/>
        </w:rPr>
        <w:t xml:space="preserve">لسنة </w:t>
      </w:r>
      <w:r w:rsidRPr="00177346">
        <w:rPr>
          <w:sz w:val="32"/>
          <w:szCs w:val="32"/>
        </w:rPr>
        <w:t xml:space="preserve">2009 </w:t>
      </w:r>
      <w:r w:rsidRPr="00177346">
        <w:rPr>
          <w:sz w:val="32"/>
          <w:szCs w:val="32"/>
          <w:rtl/>
        </w:rPr>
        <w:t xml:space="preserve">تجاري كلي بطلب الحكم </w:t>
      </w:r>
      <w:r w:rsidRPr="00177346">
        <w:rPr>
          <w:sz w:val="32"/>
          <w:szCs w:val="32"/>
        </w:rPr>
        <w:t xml:space="preserve">– </w:t>
      </w:r>
      <w:r w:rsidRPr="00177346">
        <w:rPr>
          <w:sz w:val="32"/>
          <w:szCs w:val="32"/>
          <w:rtl/>
        </w:rPr>
        <w:t xml:space="preserve">وفق طلباتهما الختامية </w:t>
      </w:r>
      <w:r w:rsidRPr="00177346">
        <w:rPr>
          <w:sz w:val="32"/>
          <w:szCs w:val="32"/>
        </w:rPr>
        <w:t xml:space="preserve">– </w:t>
      </w:r>
      <w:r w:rsidRPr="00177346">
        <w:rPr>
          <w:sz w:val="32"/>
          <w:szCs w:val="32"/>
          <w:rtl/>
        </w:rPr>
        <w:t xml:space="preserve">بإلزامهم بالتضامن والتضامم فيما بينهم بأن يؤدوا للشركة مبلغ 24480 دينار. وقالا بياناً لذلك إنه بتاريخ 2003/11/5 تسبب المطعون ضده الثاني بغير قصد في قتل </w:t>
      </w:r>
      <w:r w:rsidRPr="00177346">
        <w:rPr>
          <w:sz w:val="32"/>
          <w:szCs w:val="32"/>
        </w:rPr>
        <w:t xml:space="preserve">........... – </w:t>
      </w:r>
      <w:r w:rsidRPr="00177346">
        <w:rPr>
          <w:sz w:val="32"/>
          <w:szCs w:val="32"/>
          <w:rtl/>
        </w:rPr>
        <w:t xml:space="preserve">العامل لدى الشركة الطاعنة الثانية </w:t>
      </w:r>
      <w:r w:rsidRPr="00177346">
        <w:rPr>
          <w:sz w:val="32"/>
          <w:szCs w:val="32"/>
        </w:rPr>
        <w:t xml:space="preserve">– </w:t>
      </w:r>
      <w:r w:rsidRPr="00177346">
        <w:rPr>
          <w:sz w:val="32"/>
          <w:szCs w:val="32"/>
          <w:rtl/>
        </w:rPr>
        <w:t xml:space="preserve">أثناء قيامه برفع معدة ثقيلة من حفرة إلا أنها سقطت وأحدثت إصابته التي أودت بحياته، وتحرر عن ذلك محضر الجنحة رقم 4856 لسنة 2004 </w:t>
      </w:r>
      <w:r w:rsidRPr="00177346">
        <w:rPr>
          <w:sz w:val="32"/>
          <w:szCs w:val="32"/>
        </w:rPr>
        <w:t xml:space="preserve">– 37/2003 </w:t>
      </w:r>
      <w:r w:rsidRPr="00177346">
        <w:rPr>
          <w:sz w:val="32"/>
          <w:szCs w:val="32"/>
          <w:rtl/>
        </w:rPr>
        <w:t>الفيحاء وقدم المطعون ضده الثاني للمحاكمة بتهمة القتل الخطأ كما قدم الطاعن الأول بتهمة إهماله وعدم احتياطه في مراقبة العمل وقضى بإدانتهما بتقرير الإمتناع عن النطق بالعقاب، فأقام ورثة المتوفي الدعوى رقم 7056 لسنة 2006 تجاري كلي والتي قضى فيها بحكم بات في الطعنين بالتمييز رقمي 1278، 1283 لسنة 2007 تجاري بإلزام الطاعنين والمطعون ضده الثاني بالتضامن فيما بينهم بأن يؤدوا إلى الورثة مبلغ 24000 دينار وقد قامت الشركة الطاعنة بالوفاء بمبلغ 24480 دينار قيمة المحكوم به شاملاً المصروفات القضائية بإيداع شيك بالمبلغ إدارة التنفيذ</w:t>
      </w:r>
      <w:r w:rsidRPr="00177346">
        <w:rPr>
          <w:sz w:val="32"/>
          <w:szCs w:val="32"/>
        </w:rPr>
        <w:t xml:space="preserve">. </w:t>
      </w:r>
      <w:r w:rsidRPr="00177346">
        <w:rPr>
          <w:sz w:val="32"/>
          <w:szCs w:val="32"/>
          <w:rtl/>
        </w:rPr>
        <w:t xml:space="preserve">وإذ كانت الشركة المطعون ضدها الأولى مؤمن لديها على العاملين لدى الشركة الطاعنة ومن بينهم المتوفي وكان المطعون ضده الثاني </w:t>
      </w:r>
      <w:r w:rsidRPr="00177346">
        <w:rPr>
          <w:sz w:val="32"/>
          <w:szCs w:val="32"/>
        </w:rPr>
        <w:t xml:space="preserve">- </w:t>
      </w:r>
      <w:r w:rsidRPr="00177346">
        <w:rPr>
          <w:sz w:val="32"/>
          <w:szCs w:val="32"/>
          <w:rtl/>
        </w:rPr>
        <w:t xml:space="preserve">العامل لدى الشركة المطعون ضدها الثالثة </w:t>
      </w:r>
      <w:r w:rsidRPr="00177346">
        <w:rPr>
          <w:sz w:val="32"/>
          <w:szCs w:val="32"/>
        </w:rPr>
        <w:t xml:space="preserve">– </w:t>
      </w:r>
      <w:r w:rsidRPr="00177346">
        <w:rPr>
          <w:sz w:val="32"/>
          <w:szCs w:val="32"/>
          <w:rtl/>
        </w:rPr>
        <w:t xml:space="preserve">قد قضى بإلزامه بالتضامن مع الطاعنين في آداء مبلغ التعويض، كما أن الشركة المطعون ضدها الخامسة مؤمن لديها على الكرين أداة الحادث المملوك للمؤسسة المطعون ضدها الرابعة بما يحق لها الرجوع عليهم بما أوفته من تعويض ومن ثم فقد أقامت الدعوى . وبعد أن أودع الخبير الذي ندبته المحكمة تقريره حكمت بإلزام الشركة المطعون ضدها الأولى بأن تؤدى إلى الشركة الطاعنة الثانية مبلغ مقداره 8160 دينار ورفضت ما عدا ذلك من طلبات </w:t>
      </w:r>
      <w:r w:rsidRPr="00177346">
        <w:rPr>
          <w:sz w:val="32"/>
          <w:szCs w:val="32"/>
        </w:rPr>
        <w:t xml:space="preserve">– </w:t>
      </w:r>
      <w:r w:rsidRPr="00177346">
        <w:rPr>
          <w:sz w:val="32"/>
          <w:szCs w:val="32"/>
          <w:rtl/>
        </w:rPr>
        <w:t>استأنف الطاعنان هذا الحكم بالإستئناف رقم 295 لسنة 2013 تجاري. كما أقامت الشركة المطعون ضدها الأولى استئنافاً فرعياً</w:t>
      </w:r>
      <w:r w:rsidRPr="00177346">
        <w:rPr>
          <w:sz w:val="32"/>
          <w:szCs w:val="32"/>
        </w:rPr>
        <w:t xml:space="preserve"> . </w:t>
      </w:r>
      <w:r w:rsidRPr="00177346">
        <w:rPr>
          <w:sz w:val="32"/>
          <w:szCs w:val="32"/>
          <w:rtl/>
        </w:rPr>
        <w:t>بتاريخ 2013/4/10 قضت المحكمة برفض الاستئنافين وتأييد الحكم المستأنف . طعن الطاعنان في هذا الحكم بطريق التمييز وقدمت النيابة مذكرة أبدت فيها الرأي بتمييز الحكم المطعون فيه تمييزاً جزئياً. وإذ عُرض الطعن على هذه المحكمة في غرفة المشورة حددت جلسة لنظره وفيها إلتزمت النيابة رأيها</w:t>
      </w:r>
      <w:r w:rsidRPr="00177346">
        <w:rPr>
          <w:sz w:val="32"/>
          <w:szCs w:val="32"/>
        </w:rPr>
        <w:t xml:space="preserve"> .</w:t>
      </w:r>
    </w:p>
    <w:p w:rsidR="00177346" w:rsidRPr="00177346" w:rsidRDefault="00177346" w:rsidP="00177346">
      <w:pPr>
        <w:rPr>
          <w:sz w:val="32"/>
          <w:szCs w:val="32"/>
        </w:rPr>
      </w:pPr>
      <w:bookmarkStart w:id="14" w:name="Anchor380"/>
      <w:bookmarkEnd w:id="14"/>
      <w:r w:rsidRPr="00177346">
        <w:rPr>
          <w:sz w:val="32"/>
          <w:szCs w:val="32"/>
          <w:rtl/>
        </w:rPr>
        <w:t>وحيث إن الطعن أقيم على سببين ينعى الطاعنان بالسبب الثاني منهما على الحكم المطعون فيه الفساد في الإستدلال والقصور في التسبيب، وفي بيان ذلك يقولان أن الشركة الطاعنة مؤمنة على العاملين لديها لدى الشركة المطعون ضدها الأولى وأن قيادة الكرين أداة الحادث كان لتابع المطعون ضدها الثالثة ومملوك للمؤسسة المطعون ضدها الرابعة ومؤمن عليه لدى الشركة المطعون ضدها الأخيرة ومن ثم كان يتعين إلزامهم جميعاً بالتضامن والتضامم فيما بينهم بأن يؤدوا لهما مبلغ التعويض الذي تم الوفاء به وإذ خالف الحكم المطعون فيه هذا النظر فإنه يكون معيباً بما يستوجب تمييزه</w:t>
      </w:r>
      <w:r w:rsidRPr="00177346">
        <w:rPr>
          <w:sz w:val="32"/>
          <w:szCs w:val="32"/>
        </w:rPr>
        <w:t>.</w:t>
      </w:r>
    </w:p>
    <w:p w:rsidR="00177346" w:rsidRPr="00177346" w:rsidRDefault="00177346" w:rsidP="00177346">
      <w:pPr>
        <w:rPr>
          <w:sz w:val="32"/>
          <w:szCs w:val="32"/>
        </w:rPr>
      </w:pPr>
      <w:bookmarkStart w:id="15" w:name="Anchor434"/>
      <w:bookmarkStart w:id="16" w:name="TM2014_956_1"/>
      <w:bookmarkEnd w:id="15"/>
      <w:bookmarkEnd w:id="16"/>
      <w:r w:rsidRPr="00177346">
        <w:rPr>
          <w:b/>
          <w:bCs/>
          <w:sz w:val="32"/>
          <w:szCs w:val="32"/>
          <w:rtl/>
        </w:rPr>
        <w:t xml:space="preserve">وحيث إن هذا النعي مردود، ذلك أن المقرر </w:t>
      </w:r>
      <w:r w:rsidRPr="00177346">
        <w:rPr>
          <w:b/>
          <w:bCs/>
          <w:sz w:val="32"/>
          <w:szCs w:val="32"/>
        </w:rPr>
        <w:t xml:space="preserve">– </w:t>
      </w:r>
      <w:r w:rsidRPr="00177346">
        <w:rPr>
          <w:b/>
          <w:bCs/>
          <w:sz w:val="32"/>
          <w:szCs w:val="32"/>
          <w:rtl/>
        </w:rPr>
        <w:t xml:space="preserve">في قضاء هذه المحكمة </w:t>
      </w:r>
      <w:r w:rsidRPr="00177346">
        <w:rPr>
          <w:b/>
          <w:bCs/>
          <w:sz w:val="32"/>
          <w:szCs w:val="32"/>
        </w:rPr>
        <w:t xml:space="preserve">– </w:t>
      </w:r>
      <w:r w:rsidRPr="00177346">
        <w:rPr>
          <w:b/>
          <w:bCs/>
          <w:sz w:val="32"/>
          <w:szCs w:val="32"/>
          <w:rtl/>
        </w:rPr>
        <w:t xml:space="preserve">أن العقد شريعة المتعاقدين فيعتبر بالنسبة إلى عاقديه بمثابة القانون أو هذا قانون خاص بهما وإن كان منشأه الإتفاق وتكون أحكامه تبعاً لذلك هي المرجع في تحديد حقوق والتزامات كل من طرفيه قبل الآخر، </w:t>
      </w:r>
    </w:p>
    <w:p w:rsidR="00177346" w:rsidRPr="00177346" w:rsidRDefault="00177346" w:rsidP="00177346">
      <w:pPr>
        <w:rPr>
          <w:sz w:val="32"/>
          <w:szCs w:val="32"/>
        </w:rPr>
      </w:pPr>
      <w:bookmarkStart w:id="17" w:name="Anchor461"/>
      <w:bookmarkStart w:id="18" w:name="TM2014_956_2"/>
      <w:bookmarkEnd w:id="17"/>
      <w:bookmarkEnd w:id="18"/>
      <w:r w:rsidRPr="00177346">
        <w:rPr>
          <w:b/>
          <w:bCs/>
          <w:sz w:val="32"/>
          <w:szCs w:val="32"/>
          <w:rtl/>
        </w:rPr>
        <w:t>وأن نطاق ضمان المؤمن إنما يتحدد بالحدود التي تنص عليها وثيقة التأمين وبما ينعقد الإتفاق عليها، وأن مؤدى نص المادة 193/1 من القانون المدني أنه إذا كانت عبارات العقد واضحة في دلالتها على ما قصدته الإرادة المشتركة للمتعاقدين فإنها لا تكون في حاجة إلى تفسير ووجب على القاضي أن يأخذ بمعناه الظاهر دون أن ينحرف عنه لأنه لا مجال للإجتهاد مع وضوح النص،</w:t>
      </w:r>
      <w:r w:rsidRPr="00177346">
        <w:rPr>
          <w:sz w:val="32"/>
          <w:szCs w:val="32"/>
          <w:rtl/>
        </w:rPr>
        <w:t xml:space="preserve"> </w:t>
      </w:r>
    </w:p>
    <w:p w:rsidR="00177346" w:rsidRPr="00177346" w:rsidRDefault="00177346" w:rsidP="00177346">
      <w:pPr>
        <w:rPr>
          <w:sz w:val="32"/>
          <w:szCs w:val="32"/>
        </w:rPr>
      </w:pPr>
      <w:bookmarkStart w:id="19" w:name="Anchor496"/>
      <w:bookmarkStart w:id="20" w:name="TM2014_956_3"/>
      <w:bookmarkEnd w:id="19"/>
      <w:bookmarkEnd w:id="20"/>
      <w:r w:rsidRPr="00177346">
        <w:rPr>
          <w:b/>
          <w:bCs/>
          <w:sz w:val="32"/>
          <w:szCs w:val="32"/>
          <w:rtl/>
        </w:rPr>
        <w:t>وأن لمحكمة الموضوع السلطة في تحصيل وفهم الواقع في الدعوى وتحديد نطاقها وتفسير العقود والمحررات التي تقدم إليها واستخلاص ما تراه أوفى بمقصود عاقديها دون معقب عليها في ذلك متى كان تفسيرها مما تحتمله عباراتها ولا خروج فيه عن المعنى الظاهر لها في جملتها وقام قضاؤها على أسباب سائغة تؤدى إلى ما انتهت إليه</w:t>
      </w:r>
      <w:r w:rsidRPr="00177346">
        <w:rPr>
          <w:b/>
          <w:bCs/>
          <w:sz w:val="32"/>
          <w:szCs w:val="32"/>
        </w:rPr>
        <w:t>.</w:t>
      </w:r>
      <w:r w:rsidRPr="00177346">
        <w:rPr>
          <w:sz w:val="32"/>
          <w:szCs w:val="32"/>
        </w:rPr>
        <w:t xml:space="preserve"> </w:t>
      </w:r>
      <w:r w:rsidRPr="00177346">
        <w:rPr>
          <w:sz w:val="32"/>
          <w:szCs w:val="32"/>
          <w:rtl/>
        </w:rPr>
        <w:t xml:space="preserve">لما كان ذلك، وكان الحكم المطعون فيه قد حدد نطاق الدعوى بأنها دعوى رجوع الشركة الطاعنة الثانية على باقي المدينين لمطالبتهم بسداد قيمة ما أوفته بالزيادة عن حصتها في المبلغ المقضي به في الدعوى رقم 5076 لسنة 2006 تجاري كلى بإلزام الطاعنين والمطعون ضده الثاني بالتضامن بأداء مبلغ التعويض المقدر لورثة العامل لدى الشركة الطاعنة الثانية وأنه لاصلة أو رابطة بين الطاعنين والمطعون ضدهم من الثالثة حتى الأخيرة تخولها حق الرجوع عليهم، كما خلص الحكم إلى أن وثيقة التأمين المبرمة بين الشركة الطاعنة الثانية والشركة المطعون ضدها الأولى </w:t>
      </w:r>
      <w:r w:rsidRPr="00177346">
        <w:rPr>
          <w:sz w:val="32"/>
          <w:szCs w:val="32"/>
        </w:rPr>
        <w:t xml:space="preserve">– </w:t>
      </w:r>
      <w:r w:rsidRPr="00177346">
        <w:rPr>
          <w:sz w:val="32"/>
          <w:szCs w:val="32"/>
          <w:rtl/>
        </w:rPr>
        <w:t xml:space="preserve">وهي شريعة المتعاقدين </w:t>
      </w:r>
      <w:r w:rsidRPr="00177346">
        <w:rPr>
          <w:sz w:val="32"/>
          <w:szCs w:val="32"/>
        </w:rPr>
        <w:t xml:space="preserve">– </w:t>
      </w:r>
      <w:r w:rsidRPr="00177346">
        <w:rPr>
          <w:sz w:val="32"/>
          <w:szCs w:val="32"/>
          <w:rtl/>
        </w:rPr>
        <w:t xml:space="preserve">قد حددت نطاق التزام الأخيرة وما انعقد الإتفاق عليه وهو تعويض الشركة الطاعنة عن جميع المبالغ التي تكون الأخيرة مسئولة عنها تجاه عمالها من الإصابات أو الوفاة التي تحدث لهم أثناء وبسبب العمل وحددت الوثيقة المبلغ المؤمن به وحده الأقصى في حالة وفاة العامل أثناء وبسبب العمل لدى المؤمن له، وأن الحكم سالف البيان والصادر بالإلزام بمبلغ التعويض قد قضى بإلزام الطاعنين والمطعون ضده الثاني بالتضامن بمبلغ التعويض، وأنه يحق للشركة الطاعنة </w:t>
      </w:r>
      <w:r w:rsidRPr="00177346">
        <w:rPr>
          <w:sz w:val="32"/>
          <w:szCs w:val="32"/>
        </w:rPr>
        <w:t xml:space="preserve">– </w:t>
      </w:r>
      <w:r w:rsidRPr="00177346">
        <w:rPr>
          <w:sz w:val="32"/>
          <w:szCs w:val="32"/>
          <w:rtl/>
        </w:rPr>
        <w:t xml:space="preserve">المؤمن لها </w:t>
      </w:r>
      <w:r w:rsidRPr="00177346">
        <w:rPr>
          <w:sz w:val="32"/>
          <w:szCs w:val="32"/>
        </w:rPr>
        <w:t xml:space="preserve">– </w:t>
      </w:r>
      <w:r w:rsidRPr="00177346">
        <w:rPr>
          <w:sz w:val="32"/>
          <w:szCs w:val="32"/>
          <w:rtl/>
        </w:rPr>
        <w:t>الرجوع على الشركة المطعون ضدها الأولى للمطالبة بما تلتزم بأدائه فقط (وهو ثلث المبلغ المقضي به</w:t>
      </w:r>
      <w:r w:rsidRPr="00177346">
        <w:rPr>
          <w:sz w:val="32"/>
          <w:szCs w:val="32"/>
        </w:rPr>
        <w:t xml:space="preserve">) </w:t>
      </w:r>
      <w:r w:rsidRPr="00177346">
        <w:rPr>
          <w:sz w:val="32"/>
          <w:szCs w:val="32"/>
          <w:rtl/>
        </w:rPr>
        <w:t>ولا يجوز لها المطالبة بكامل المبلغ المحكوم به</w:t>
      </w:r>
      <w:r w:rsidRPr="00177346">
        <w:rPr>
          <w:sz w:val="32"/>
          <w:szCs w:val="32"/>
        </w:rPr>
        <w:t xml:space="preserve"> . </w:t>
      </w:r>
      <w:r w:rsidRPr="00177346">
        <w:rPr>
          <w:sz w:val="32"/>
          <w:szCs w:val="32"/>
          <w:rtl/>
        </w:rPr>
        <w:t>وكان هذا الذي أورده الحكم في شأن تفسيره لوثيقة التأمين وتحديد نطاق الدعوى سائغاً ولا مخالفة فيه للقانون أو للثابت بالأوراق ولا خروج فيه عن المعنى الظاهر لعبارات الوثيقة ويؤدى إلى النتيجة التي إنتهى إليها فإن ما تثيره الطاعنة في هذا الصدد لا يعدو أن يكون جدلاً فيما تستقل محكمة الموضوع بتقديره مما لايجوز إثارته لدى محكمة التمييز</w:t>
      </w:r>
      <w:r w:rsidRPr="00177346">
        <w:rPr>
          <w:sz w:val="32"/>
          <w:szCs w:val="32"/>
        </w:rPr>
        <w:t>.</w:t>
      </w:r>
    </w:p>
    <w:p w:rsidR="00177346" w:rsidRPr="00177346" w:rsidRDefault="00177346" w:rsidP="00177346">
      <w:pPr>
        <w:rPr>
          <w:sz w:val="32"/>
          <w:szCs w:val="32"/>
        </w:rPr>
      </w:pPr>
      <w:bookmarkStart w:id="21" w:name="Anchor680"/>
      <w:bookmarkEnd w:id="21"/>
      <w:r w:rsidRPr="00177346">
        <w:rPr>
          <w:sz w:val="32"/>
          <w:szCs w:val="32"/>
          <w:rtl/>
        </w:rPr>
        <w:t>وحيث إن الطاعنين ينعيان بالسبب الأول على الحكم المطعون فيه مخالفة القانون والخطأ في تطبيقه ومخالفة الثابت بالأوراق وفي بيان ذلك يقولان، أنه رغم أن الشركة الطاعنة الثانية أوفت بمبلغ التعويض المقضي به بإيداعه خزينة إدارة التنفيذ، إلا أن الحكم المطعون فيه أيد الحكم الإبتدائي برفض إلزام المطعون ضده الثاني بأداء حصته في المبلغ المقضي به بما يعيبه ويستوجب تمييزه</w:t>
      </w:r>
      <w:r w:rsidRPr="00177346">
        <w:rPr>
          <w:sz w:val="32"/>
          <w:szCs w:val="32"/>
        </w:rPr>
        <w:t>.</w:t>
      </w:r>
    </w:p>
    <w:p w:rsidR="00177346" w:rsidRPr="00177346" w:rsidRDefault="00177346" w:rsidP="00177346">
      <w:pPr>
        <w:rPr>
          <w:sz w:val="32"/>
          <w:szCs w:val="32"/>
        </w:rPr>
      </w:pPr>
      <w:bookmarkStart w:id="22" w:name="Anchor717"/>
      <w:bookmarkStart w:id="23" w:name="TM2014_956_4"/>
      <w:bookmarkEnd w:id="22"/>
      <w:bookmarkEnd w:id="23"/>
      <w:r w:rsidRPr="00177346">
        <w:rPr>
          <w:b/>
          <w:bCs/>
          <w:sz w:val="32"/>
          <w:szCs w:val="32"/>
          <w:rtl/>
        </w:rPr>
        <w:t xml:space="preserve">وحيث إن هذا النعي سديد، ذلك أن المقرر وعلى ما نصت عليه الفقرة الأولى من المادة 359 من القانون المدني على أنه " إذ أوفى أحد المدينين المتضامنين كل الدين أو ما يزيد على حصته فيه، أو قضاه بطريق من الطرق المعادلة للوفاء فلا يجوز له أن يرجع على أي من المدينين إلا بقدر حصته، يدل </w:t>
      </w:r>
      <w:r w:rsidRPr="00177346">
        <w:rPr>
          <w:b/>
          <w:bCs/>
          <w:sz w:val="32"/>
          <w:szCs w:val="32"/>
        </w:rPr>
        <w:t xml:space="preserve">– </w:t>
      </w:r>
      <w:r w:rsidRPr="00177346">
        <w:rPr>
          <w:b/>
          <w:bCs/>
          <w:sz w:val="32"/>
          <w:szCs w:val="32"/>
          <w:rtl/>
        </w:rPr>
        <w:t xml:space="preserve">وعلى ما أفصحت عنه المذكرة الإيضاحية للقانون </w:t>
      </w:r>
      <w:r w:rsidRPr="00177346">
        <w:rPr>
          <w:b/>
          <w:bCs/>
          <w:sz w:val="32"/>
          <w:szCs w:val="32"/>
        </w:rPr>
        <w:t xml:space="preserve">– </w:t>
      </w:r>
      <w:r w:rsidRPr="00177346">
        <w:rPr>
          <w:b/>
          <w:bCs/>
          <w:sz w:val="32"/>
          <w:szCs w:val="32"/>
          <w:rtl/>
        </w:rPr>
        <w:t>أنه إذا أوفى أحد المدينين المتضامنين الدين كله أو ما يزيد على حصته فيه أو قام بهذا أو ذاك بطريق من الطرق الأخرى المعادلة للوفاء، فإنه يرجع على باقي المدينين كل بقدر حصته في الدين أو في تلك الزيادة</w:t>
      </w:r>
      <w:r w:rsidRPr="00177346">
        <w:rPr>
          <w:sz w:val="32"/>
          <w:szCs w:val="32"/>
          <w:rtl/>
        </w:rPr>
        <w:t xml:space="preserve"> </w:t>
      </w:r>
    </w:p>
    <w:p w:rsidR="00177346" w:rsidRPr="00177346" w:rsidRDefault="00177346" w:rsidP="00177346">
      <w:pPr>
        <w:rPr>
          <w:sz w:val="32"/>
          <w:szCs w:val="32"/>
        </w:rPr>
      </w:pPr>
      <w:bookmarkStart w:id="24" w:name="Anchor767"/>
      <w:bookmarkStart w:id="25" w:name="TM2014_956_5"/>
      <w:bookmarkEnd w:id="24"/>
      <w:bookmarkEnd w:id="25"/>
      <w:r w:rsidRPr="00177346">
        <w:rPr>
          <w:b/>
          <w:bCs/>
          <w:sz w:val="32"/>
          <w:szCs w:val="32"/>
          <w:rtl/>
        </w:rPr>
        <w:t>وأنه إذا كانت محكمة الموضوع قد بنت حكمها على فهم مخالف للثابت بأوراق الدعوى، فإن حكمها يكون باطلاً متعيناً تمييزه</w:t>
      </w:r>
      <w:r w:rsidRPr="00177346">
        <w:rPr>
          <w:sz w:val="32"/>
          <w:szCs w:val="32"/>
        </w:rPr>
        <w:t xml:space="preserve">. </w:t>
      </w:r>
    </w:p>
    <w:p w:rsidR="00177346" w:rsidRPr="00177346" w:rsidRDefault="00177346" w:rsidP="00177346">
      <w:pPr>
        <w:rPr>
          <w:sz w:val="32"/>
          <w:szCs w:val="32"/>
        </w:rPr>
      </w:pPr>
      <w:bookmarkStart w:id="26" w:name="Anchor781"/>
      <w:bookmarkStart w:id="27" w:name="TM2014_956_6"/>
      <w:bookmarkEnd w:id="26"/>
      <w:bookmarkEnd w:id="27"/>
      <w:r w:rsidRPr="00177346">
        <w:rPr>
          <w:b/>
          <w:bCs/>
          <w:sz w:val="32"/>
          <w:szCs w:val="32"/>
          <w:rtl/>
        </w:rPr>
        <w:t xml:space="preserve">لما كان ذلك وكان الثابت بالأوراق أن الحكم الصادر في الدعوى رقم </w:t>
      </w:r>
      <w:r w:rsidRPr="00177346">
        <w:rPr>
          <w:b/>
          <w:bCs/>
          <w:sz w:val="32"/>
          <w:szCs w:val="32"/>
        </w:rPr>
        <w:t xml:space="preserve">5076 </w:t>
      </w:r>
      <w:r w:rsidRPr="00177346">
        <w:rPr>
          <w:b/>
          <w:bCs/>
          <w:sz w:val="32"/>
          <w:szCs w:val="32"/>
          <w:rtl/>
        </w:rPr>
        <w:t xml:space="preserve">لسنة 2006 تجاري كلى والذي صار باتاً بصدور الحكم في الطعنين بالتمييز رقمي 1278، 1283 لسنة 2007 تجاري قد قضى بإلزام الطاعنين والمطعون ضده الثاني بالتضامن فيما بينهم بأن يؤدوا إلى ورثة </w:t>
      </w:r>
      <w:r w:rsidRPr="00177346">
        <w:rPr>
          <w:b/>
          <w:bCs/>
          <w:sz w:val="32"/>
          <w:szCs w:val="32"/>
        </w:rPr>
        <w:t xml:space="preserve">.............. </w:t>
      </w:r>
      <w:r w:rsidRPr="00177346">
        <w:rPr>
          <w:b/>
          <w:bCs/>
          <w:sz w:val="32"/>
          <w:szCs w:val="32"/>
          <w:rtl/>
        </w:rPr>
        <w:t xml:space="preserve">المتوفي أثناء وبسبب العمل لدى الشركة الطاعنة الثانية بسبب إهمال الطاعن الأول والمطعون ضده الثاني مبلغ مقداره 24000 دينار وقد قامت الطاعنة الثانية بإيداع شيك بالمبلغ المقضي به شاملاً المصروفات القضائية إدارة التنفيذ ومن ثم يحق لها الرجوع على باقي المدينين معها </w:t>
      </w:r>
      <w:r w:rsidRPr="00177346">
        <w:rPr>
          <w:b/>
          <w:bCs/>
          <w:sz w:val="32"/>
          <w:szCs w:val="32"/>
        </w:rPr>
        <w:t xml:space="preserve">– </w:t>
      </w:r>
      <w:r w:rsidRPr="00177346">
        <w:rPr>
          <w:b/>
          <w:bCs/>
          <w:sz w:val="32"/>
          <w:szCs w:val="32"/>
          <w:rtl/>
        </w:rPr>
        <w:t xml:space="preserve">ومنهم المطعون ضده الثاني </w:t>
      </w:r>
      <w:r w:rsidRPr="00177346">
        <w:rPr>
          <w:b/>
          <w:bCs/>
          <w:sz w:val="32"/>
          <w:szCs w:val="32"/>
        </w:rPr>
        <w:t xml:space="preserve">– </w:t>
      </w:r>
      <w:r w:rsidRPr="00177346">
        <w:rPr>
          <w:b/>
          <w:bCs/>
          <w:sz w:val="32"/>
          <w:szCs w:val="32"/>
          <w:rtl/>
        </w:rPr>
        <w:t>للمطالبة بما أدته من زيادة عن حصتها، وإذ خالف الحكم المطعون فيه هذا النظر وانتهى إلى رفض طلب الشركة الطاعنة الثانية إلزام المطعون ضده الثاني بآداء حصته في المبلغ المحكوم به بقالة أن الأوراق خلت من ثمة صلة أو رابطة تخول الطاعنة الثانية الحق في الرجوع عليه لمطالبته بسداد قيمة ما أوفته بالزيادة عن حصتها مما مفاده أن محكمة الموضوع لم تفطن إلى دلالة ما قدمته الطاعنة الثانية من مستندات وما هو ثابت بها ومن ثم يكون الحكم المطعون فيه معيباً بمخالفة الثابت بالأوراق مما يوجب تمييزه جزئياً في هذا الخصوص</w:t>
      </w:r>
      <w:r w:rsidRPr="00177346">
        <w:rPr>
          <w:b/>
          <w:bCs/>
          <w:sz w:val="32"/>
          <w:szCs w:val="32"/>
        </w:rPr>
        <w:t xml:space="preserve">. </w:t>
      </w:r>
    </w:p>
    <w:p w:rsidR="00177346" w:rsidRPr="00177346" w:rsidRDefault="00177346" w:rsidP="00177346">
      <w:pPr>
        <w:rPr>
          <w:sz w:val="32"/>
          <w:szCs w:val="32"/>
        </w:rPr>
      </w:pPr>
      <w:bookmarkStart w:id="28" w:name="Anchor889"/>
      <w:bookmarkStart w:id="29" w:name="TM2014_956_7"/>
      <w:bookmarkEnd w:id="28"/>
      <w:bookmarkEnd w:id="29"/>
      <w:r w:rsidRPr="00177346">
        <w:rPr>
          <w:b/>
          <w:bCs/>
          <w:sz w:val="32"/>
          <w:szCs w:val="32"/>
          <w:rtl/>
        </w:rPr>
        <w:t xml:space="preserve">وحيث أنه عن موضوع الإستئناف </w:t>
      </w:r>
      <w:r w:rsidRPr="00177346">
        <w:rPr>
          <w:b/>
          <w:bCs/>
          <w:sz w:val="32"/>
          <w:szCs w:val="32"/>
        </w:rPr>
        <w:t xml:space="preserve">– </w:t>
      </w:r>
      <w:r w:rsidRPr="00177346">
        <w:rPr>
          <w:b/>
          <w:bCs/>
          <w:sz w:val="32"/>
          <w:szCs w:val="32"/>
          <w:rtl/>
        </w:rPr>
        <w:t xml:space="preserve">فيما ميز من الحكم </w:t>
      </w:r>
      <w:r w:rsidRPr="00177346">
        <w:rPr>
          <w:b/>
          <w:bCs/>
          <w:sz w:val="32"/>
          <w:szCs w:val="32"/>
        </w:rPr>
        <w:t xml:space="preserve">– </w:t>
      </w:r>
      <w:r w:rsidRPr="00177346">
        <w:rPr>
          <w:b/>
          <w:bCs/>
          <w:sz w:val="32"/>
          <w:szCs w:val="32"/>
          <w:rtl/>
        </w:rPr>
        <w:t xml:space="preserve">فإنه صالح للفصل فيه، ولما تقدم، ولما كان من المقرر أن النص في المادة 228 من القانون المدني على أنه " 1- إذا تعدد الأشخاص الذين حدث الضرر بخطئهم التزم كل منهم في مواجهة المضرور بتعويض كل ضرر </w:t>
      </w:r>
      <w:r w:rsidRPr="00177346">
        <w:rPr>
          <w:b/>
          <w:bCs/>
          <w:sz w:val="32"/>
          <w:szCs w:val="32"/>
        </w:rPr>
        <w:t xml:space="preserve">2- </w:t>
      </w:r>
      <w:r w:rsidRPr="00177346">
        <w:rPr>
          <w:b/>
          <w:bCs/>
          <w:sz w:val="32"/>
          <w:szCs w:val="32"/>
          <w:rtl/>
        </w:rPr>
        <w:t xml:space="preserve">وتتوزع غرم المسئولية فيما بين المسئولين المتعددين بقدر دور خطأ كل منهم في أحداث الضرر، فإن تعذر تحديد هذا الدور وزع عليهم غرم المسئولية بالتساوي" يدل </w:t>
      </w:r>
      <w:r w:rsidRPr="00177346">
        <w:rPr>
          <w:b/>
          <w:bCs/>
          <w:sz w:val="32"/>
          <w:szCs w:val="32"/>
        </w:rPr>
        <w:t xml:space="preserve">– </w:t>
      </w:r>
      <w:r w:rsidRPr="00177346">
        <w:rPr>
          <w:b/>
          <w:bCs/>
          <w:sz w:val="32"/>
          <w:szCs w:val="32"/>
          <w:rtl/>
        </w:rPr>
        <w:t xml:space="preserve">وعلى ما ورد بالمذكرة الإيضاحية للقانون </w:t>
      </w:r>
      <w:r w:rsidRPr="00177346">
        <w:rPr>
          <w:b/>
          <w:bCs/>
          <w:sz w:val="32"/>
          <w:szCs w:val="32"/>
        </w:rPr>
        <w:t xml:space="preserve">– </w:t>
      </w:r>
      <w:r w:rsidRPr="00177346">
        <w:rPr>
          <w:b/>
          <w:bCs/>
          <w:sz w:val="32"/>
          <w:szCs w:val="32"/>
          <w:rtl/>
        </w:rPr>
        <w:t>أن الضرر إذا حدث نتيجة أخطاء متعددة وقعت من أشخاص كثيرين فإن كل واحد منهم يلتزم في مواجهة المضرور بالتعويض كاملاً، وأن المسئولين المتعددين يتحملون بالتعويض على سبيل التضامن أما في العلاقة بين هؤلاء المسئولين أنفسهم فيتوزع غرم المسئولية بينهم بقدر دور خطأ كل منهم في أحداث الضرر فإن تعذر تحديد هذا الدور وزع عليهم غرم المسئولية بالتساوي</w:t>
      </w:r>
      <w:r w:rsidRPr="00177346">
        <w:rPr>
          <w:b/>
          <w:bCs/>
          <w:sz w:val="32"/>
          <w:szCs w:val="32"/>
        </w:rPr>
        <w:t>.</w:t>
      </w:r>
      <w:r w:rsidRPr="00177346">
        <w:rPr>
          <w:sz w:val="32"/>
          <w:szCs w:val="32"/>
        </w:rPr>
        <w:t xml:space="preserve"> </w:t>
      </w:r>
      <w:r w:rsidRPr="00177346">
        <w:rPr>
          <w:sz w:val="32"/>
          <w:szCs w:val="32"/>
          <w:rtl/>
        </w:rPr>
        <w:t xml:space="preserve">لما كان ذلك، وكان الثابت أن الحكم الصادر في الدعوى رقم </w:t>
      </w:r>
      <w:r w:rsidRPr="00177346">
        <w:rPr>
          <w:sz w:val="32"/>
          <w:szCs w:val="32"/>
        </w:rPr>
        <w:t xml:space="preserve">5076 </w:t>
      </w:r>
      <w:r w:rsidRPr="00177346">
        <w:rPr>
          <w:sz w:val="32"/>
          <w:szCs w:val="32"/>
          <w:rtl/>
        </w:rPr>
        <w:t xml:space="preserve">لسنة 2006 تجاري كل </w:t>
      </w:r>
      <w:r w:rsidRPr="00177346">
        <w:rPr>
          <w:sz w:val="32"/>
          <w:szCs w:val="32"/>
        </w:rPr>
        <w:t xml:space="preserve">– </w:t>
      </w:r>
      <w:r w:rsidRPr="00177346">
        <w:rPr>
          <w:sz w:val="32"/>
          <w:szCs w:val="32"/>
          <w:rtl/>
        </w:rPr>
        <w:t xml:space="preserve">سالف البيان </w:t>
      </w:r>
      <w:r w:rsidRPr="00177346">
        <w:rPr>
          <w:sz w:val="32"/>
          <w:szCs w:val="32"/>
        </w:rPr>
        <w:t xml:space="preserve">– </w:t>
      </w:r>
      <w:r w:rsidRPr="00177346">
        <w:rPr>
          <w:sz w:val="32"/>
          <w:szCs w:val="32"/>
          <w:rtl/>
        </w:rPr>
        <w:t xml:space="preserve">قد قضى بإلزام المستأنفين والمستأنف ضده الثاني بالتضامن فيما بينهم بأن يؤدوا إلى ورثة المتوفي مبلغ التعويض المقضي به </w:t>
      </w:r>
      <w:r w:rsidRPr="00177346">
        <w:rPr>
          <w:sz w:val="32"/>
          <w:szCs w:val="32"/>
        </w:rPr>
        <w:t xml:space="preserve">– </w:t>
      </w:r>
      <w:r w:rsidRPr="00177346">
        <w:rPr>
          <w:sz w:val="32"/>
          <w:szCs w:val="32"/>
          <w:rtl/>
        </w:rPr>
        <w:t xml:space="preserve">بالتضامن فيما بينهم </w:t>
      </w:r>
      <w:r w:rsidRPr="00177346">
        <w:rPr>
          <w:sz w:val="32"/>
          <w:szCs w:val="32"/>
        </w:rPr>
        <w:t xml:space="preserve">– </w:t>
      </w:r>
      <w:r w:rsidRPr="00177346">
        <w:rPr>
          <w:sz w:val="32"/>
          <w:szCs w:val="32"/>
          <w:rtl/>
        </w:rPr>
        <w:t>وأن الشركة المستأنفة قامت بإيداع شيك بمبلغ 24420 دينار بإدارة التنفيذ وسداد مبلغ 60 دينار وهو ما يمثل إجمالي مبلغ التعويض المقضي به شاملاً المصروفات القضائية، وإذ لم يحدد الحكم الصادر بالتعويض دور كل من المسئولين في إحداث الضرر فإن مبلغ التعويض المقضي به يوزع بينهم بالتساوي وتكون حصة المستأنف ضده الثاني في ذلك المبلغ مقدارها 8160 دينار (قيمة ثلث المبلغ الذي تم الوفاء به</w:t>
      </w:r>
      <w:r w:rsidRPr="00177346">
        <w:rPr>
          <w:sz w:val="32"/>
          <w:szCs w:val="32"/>
        </w:rPr>
        <w:t xml:space="preserve">) </w:t>
      </w:r>
      <w:r w:rsidRPr="00177346">
        <w:rPr>
          <w:sz w:val="32"/>
          <w:szCs w:val="32"/>
          <w:rtl/>
        </w:rPr>
        <w:t>ويحق للشركة المستأنفة الثانية أن ترجع بها على المستأنف ضده الثاني ولا يغير من ذلك خلو الأوراق مما يفيد تحصيل قيمة الشيك لصالح الورثة إذ أن ذلك لا يمنع من تقرير حق الشركة المستأنف في الرجوع على المستأنف ضده الثاني من حيث المبدأ حال ثبوت تحصيل قيمة الشيك لصالح الورثة، وإذ خالف الحكم المستأنف فهذا النظر فإنه يتعين تعديله على النحو المبين بمنطوق هذا القضاء</w:t>
      </w:r>
      <w:r w:rsidRPr="00177346">
        <w:rPr>
          <w:sz w:val="32"/>
          <w:szCs w:val="32"/>
        </w:rPr>
        <w:t>.</w:t>
      </w:r>
    </w:p>
    <w:p w:rsidR="00177346" w:rsidRPr="00177346" w:rsidRDefault="00177346" w:rsidP="00177346">
      <w:pPr>
        <w:rPr>
          <w:sz w:val="32"/>
          <w:szCs w:val="32"/>
        </w:rPr>
      </w:pPr>
      <w:bookmarkStart w:id="30" w:name="Anchor1058"/>
      <w:bookmarkEnd w:id="30"/>
      <w:r w:rsidRPr="00177346">
        <w:rPr>
          <w:sz w:val="32"/>
          <w:szCs w:val="32"/>
          <w:rtl/>
        </w:rPr>
        <w:t>وحيث أنه عن المصروفات شاملة أتعاب المحاماة فإن المحكمة تلزم بها المستأنف ضده الثاني عملاً بالمادتين 119، 147 من قانون المرافعات</w:t>
      </w:r>
      <w:r w:rsidRPr="00177346">
        <w:rPr>
          <w:sz w:val="32"/>
          <w:szCs w:val="32"/>
        </w:rPr>
        <w:t>.</w:t>
      </w:r>
    </w:p>
    <w:p w:rsidR="00177346" w:rsidRPr="00177346" w:rsidRDefault="00177346" w:rsidP="00177346">
      <w:pPr>
        <w:rPr>
          <w:sz w:val="32"/>
          <w:szCs w:val="32"/>
        </w:rPr>
      </w:pPr>
      <w:bookmarkStart w:id="31" w:name="Anchor1070"/>
      <w:bookmarkEnd w:id="31"/>
      <w:r w:rsidRPr="00177346">
        <w:rPr>
          <w:sz w:val="32"/>
          <w:szCs w:val="32"/>
          <w:rtl/>
        </w:rPr>
        <w:t>وحيث أنه عن أتعاب المحاماة الفعلية فإن المحكمة تقدر مبلغ مائة دينار أتعاب محاماة فعلية عن الإستئناف عملاً بنص المادة 119 مكرر من قانون المرافعات</w:t>
      </w:r>
      <w:r w:rsidRPr="00177346">
        <w:rPr>
          <w:sz w:val="32"/>
          <w:szCs w:val="32"/>
        </w:rPr>
        <w:t>.</w:t>
      </w:r>
    </w:p>
    <w:p w:rsidR="00177346" w:rsidRPr="00177346" w:rsidRDefault="00177346" w:rsidP="00177346">
      <w:pPr>
        <w:rPr>
          <w:sz w:val="32"/>
          <w:szCs w:val="32"/>
        </w:rPr>
      </w:pPr>
      <w:bookmarkStart w:id="32" w:name="Anchor1083"/>
      <w:bookmarkEnd w:id="32"/>
      <w:r w:rsidRPr="00177346">
        <w:rPr>
          <w:b/>
          <w:bCs/>
          <w:sz w:val="32"/>
          <w:szCs w:val="32"/>
          <w:rtl/>
        </w:rPr>
        <w:t>لــــــذلك</w:t>
      </w:r>
    </w:p>
    <w:p w:rsidR="00177346" w:rsidRPr="00177346" w:rsidRDefault="00177346" w:rsidP="00177346">
      <w:pPr>
        <w:rPr>
          <w:sz w:val="32"/>
          <w:szCs w:val="32"/>
        </w:rPr>
      </w:pPr>
      <w:bookmarkStart w:id="33" w:name="Anchor1084"/>
      <w:bookmarkEnd w:id="33"/>
      <w:r w:rsidRPr="00177346">
        <w:rPr>
          <w:sz w:val="32"/>
          <w:szCs w:val="32"/>
          <w:rtl/>
        </w:rPr>
        <w:t>حكمت المحكمة</w:t>
      </w:r>
      <w:r w:rsidRPr="00177346">
        <w:rPr>
          <w:sz w:val="32"/>
          <w:szCs w:val="32"/>
        </w:rPr>
        <w:t xml:space="preserve">: </w:t>
      </w:r>
      <w:r w:rsidRPr="00177346">
        <w:rPr>
          <w:sz w:val="32"/>
          <w:szCs w:val="32"/>
          <w:rtl/>
        </w:rPr>
        <w:t>أولاً</w:t>
      </w:r>
      <w:r w:rsidRPr="00177346">
        <w:rPr>
          <w:sz w:val="32"/>
          <w:szCs w:val="32"/>
        </w:rPr>
        <w:t xml:space="preserve">:- </w:t>
      </w:r>
      <w:r w:rsidRPr="00177346">
        <w:rPr>
          <w:sz w:val="32"/>
          <w:szCs w:val="32"/>
          <w:rtl/>
        </w:rPr>
        <w:t>بقبول الطعن شكلاً وفي الموضوع بتمييز الحكم المطعون فيه تمييزاً جزئياً في خصوص ما قضى به من رفض إلزام المطعون ضده الثاني وألزمته المصروفات وعشرين ديناراً مقابل أتعاب المحاماة</w:t>
      </w:r>
      <w:r w:rsidRPr="00177346">
        <w:rPr>
          <w:sz w:val="32"/>
          <w:szCs w:val="32"/>
        </w:rPr>
        <w:t>.</w:t>
      </w:r>
    </w:p>
    <w:p w:rsidR="00177346" w:rsidRPr="00177346" w:rsidRDefault="00177346" w:rsidP="00177346">
      <w:pPr>
        <w:rPr>
          <w:sz w:val="32"/>
          <w:szCs w:val="32"/>
        </w:rPr>
      </w:pPr>
      <w:bookmarkStart w:id="34" w:name="Anchor1104"/>
      <w:bookmarkEnd w:id="34"/>
      <w:r w:rsidRPr="00177346">
        <w:rPr>
          <w:sz w:val="32"/>
          <w:szCs w:val="32"/>
          <w:rtl/>
        </w:rPr>
        <w:t>ثانياً</w:t>
      </w:r>
      <w:r w:rsidRPr="00177346">
        <w:rPr>
          <w:sz w:val="32"/>
          <w:szCs w:val="32"/>
        </w:rPr>
        <w:t xml:space="preserve">:- </w:t>
      </w:r>
      <w:r w:rsidRPr="00177346">
        <w:rPr>
          <w:sz w:val="32"/>
          <w:szCs w:val="32"/>
          <w:rtl/>
        </w:rPr>
        <w:t xml:space="preserve">وفي موضوع الإستئناف وفي خصوص ما تم تمييزه </w:t>
      </w:r>
      <w:r w:rsidRPr="00177346">
        <w:rPr>
          <w:sz w:val="32"/>
          <w:szCs w:val="32"/>
        </w:rPr>
        <w:t xml:space="preserve">– </w:t>
      </w:r>
      <w:r w:rsidRPr="00177346">
        <w:rPr>
          <w:sz w:val="32"/>
          <w:szCs w:val="32"/>
          <w:rtl/>
        </w:rPr>
        <w:t xml:space="preserve">بتعديل الحكم المستأنف وإلزام المستأنف ضده الثاني بأن يؤدي للمستأنفة الثانية مبلغ </w:t>
      </w:r>
      <w:r w:rsidRPr="00177346">
        <w:rPr>
          <w:sz w:val="32"/>
          <w:szCs w:val="32"/>
        </w:rPr>
        <w:t xml:space="preserve">8160 </w:t>
      </w:r>
      <w:r w:rsidRPr="00177346">
        <w:rPr>
          <w:sz w:val="32"/>
          <w:szCs w:val="32"/>
          <w:rtl/>
        </w:rPr>
        <w:t xml:space="preserve">دينار </w:t>
      </w:r>
      <w:r w:rsidRPr="00177346">
        <w:rPr>
          <w:sz w:val="32"/>
          <w:szCs w:val="32"/>
        </w:rPr>
        <w:t xml:space="preserve">– </w:t>
      </w:r>
      <w:r w:rsidRPr="00177346">
        <w:rPr>
          <w:sz w:val="32"/>
          <w:szCs w:val="32"/>
          <w:rtl/>
        </w:rPr>
        <w:t xml:space="preserve">حال ثبوت تحصيل قيمة الشيك المشار إليه بالأسباب </w:t>
      </w:r>
      <w:r w:rsidRPr="00177346">
        <w:rPr>
          <w:sz w:val="32"/>
          <w:szCs w:val="32"/>
        </w:rPr>
        <w:t xml:space="preserve">– </w:t>
      </w:r>
      <w:r w:rsidRPr="00177346">
        <w:rPr>
          <w:sz w:val="32"/>
          <w:szCs w:val="32"/>
          <w:rtl/>
        </w:rPr>
        <w:t>وألزمته المصروفات ومائة دينار مقابل أتعاب المحاماة الفعلية</w:t>
      </w:r>
      <w:r w:rsidRPr="00177346">
        <w:rPr>
          <w:sz w:val="32"/>
          <w:szCs w:val="32"/>
        </w:rPr>
        <w:t xml:space="preserve">. </w:t>
      </w:r>
    </w:p>
    <w:p w:rsidR="00177346" w:rsidRPr="00177346" w:rsidRDefault="00177346" w:rsidP="00177346">
      <w:pPr>
        <w:rPr>
          <w:sz w:val="32"/>
          <w:szCs w:val="32"/>
        </w:rPr>
      </w:pPr>
    </w:p>
    <w:p w:rsidR="00177346" w:rsidRPr="00177346" w:rsidRDefault="00177346" w:rsidP="00177346">
      <w:pPr>
        <w:rPr>
          <w:sz w:val="32"/>
          <w:szCs w:val="32"/>
        </w:rPr>
      </w:pPr>
      <w:bookmarkStart w:id="35" w:name="Anchor1133"/>
      <w:bookmarkEnd w:id="35"/>
      <w:r w:rsidRPr="00177346">
        <w:rPr>
          <w:sz w:val="32"/>
          <w:szCs w:val="32"/>
        </w:rPr>
        <w:t>* * *</w:t>
      </w:r>
    </w:p>
    <w:p w:rsidR="008C2BA0" w:rsidRPr="00177346" w:rsidRDefault="008C2BA0">
      <w:pPr>
        <w:rPr>
          <w:sz w:val="32"/>
          <w:szCs w:val="32"/>
        </w:rPr>
      </w:pPr>
    </w:p>
    <w:sectPr w:rsidR="008C2BA0" w:rsidRPr="0017734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960"/>
    <w:rsid w:val="0003272B"/>
    <w:rsid w:val="00177346"/>
    <w:rsid w:val="008C2BA0"/>
    <w:rsid w:val="008E69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17734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7346"/>
    <w:rPr>
      <w:color w:val="0000FF"/>
      <w:u w:val="single"/>
    </w:rPr>
  </w:style>
  <w:style w:type="character" w:styleId="FollowedHyperlink">
    <w:name w:val="FollowedHyperlink"/>
    <w:basedOn w:val="DefaultParagraphFont"/>
    <w:uiPriority w:val="99"/>
    <w:semiHidden/>
    <w:unhideWhenUsed/>
    <w:rsid w:val="00177346"/>
    <w:rPr>
      <w:color w:val="800080"/>
      <w:u w:val="single"/>
    </w:rPr>
  </w:style>
  <w:style w:type="paragraph" w:styleId="NormalWeb">
    <w:name w:val="Normal (Web)"/>
    <w:basedOn w:val="Normal"/>
    <w:uiPriority w:val="99"/>
    <w:semiHidden/>
    <w:unhideWhenUsed/>
    <w:rsid w:val="00177346"/>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17734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7346"/>
    <w:rPr>
      <w:color w:val="0000FF"/>
      <w:u w:val="single"/>
    </w:rPr>
  </w:style>
  <w:style w:type="character" w:styleId="FollowedHyperlink">
    <w:name w:val="FollowedHyperlink"/>
    <w:basedOn w:val="DefaultParagraphFont"/>
    <w:uiPriority w:val="99"/>
    <w:semiHidden/>
    <w:unhideWhenUsed/>
    <w:rsid w:val="00177346"/>
    <w:rPr>
      <w:color w:val="800080"/>
      <w:u w:val="single"/>
    </w:rPr>
  </w:style>
  <w:style w:type="paragraph" w:styleId="NormalWeb">
    <w:name w:val="Normal (Web)"/>
    <w:basedOn w:val="Normal"/>
    <w:uiPriority w:val="99"/>
    <w:semiHidden/>
    <w:unhideWhenUsed/>
    <w:rsid w:val="0017734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020690">
      <w:bodyDiv w:val="1"/>
      <w:marLeft w:val="0"/>
      <w:marRight w:val="0"/>
      <w:marTop w:val="0"/>
      <w:marBottom w:val="0"/>
      <w:divBdr>
        <w:top w:val="none" w:sz="0" w:space="0" w:color="auto"/>
        <w:left w:val="none" w:sz="0" w:space="0" w:color="auto"/>
        <w:bottom w:val="none" w:sz="0" w:space="0" w:color="auto"/>
        <w:right w:val="none" w:sz="0" w:space="0" w:color="auto"/>
      </w:divBdr>
      <w:divsChild>
        <w:div w:id="858012116">
          <w:marLeft w:val="0"/>
          <w:marRight w:val="0"/>
          <w:marTop w:val="0"/>
          <w:marBottom w:val="0"/>
          <w:divBdr>
            <w:top w:val="none" w:sz="0" w:space="0" w:color="auto"/>
            <w:left w:val="none" w:sz="0" w:space="0" w:color="auto"/>
            <w:bottom w:val="none" w:sz="0" w:space="0" w:color="auto"/>
            <w:right w:val="none" w:sz="0" w:space="0" w:color="auto"/>
          </w:divBdr>
        </w:div>
        <w:div w:id="309673308">
          <w:marLeft w:val="0"/>
          <w:marRight w:val="0"/>
          <w:marTop w:val="0"/>
          <w:marBottom w:val="0"/>
          <w:divBdr>
            <w:top w:val="none" w:sz="0" w:space="0" w:color="auto"/>
            <w:left w:val="none" w:sz="0" w:space="0" w:color="auto"/>
            <w:bottom w:val="none" w:sz="0" w:space="0" w:color="auto"/>
            <w:right w:val="none" w:sz="0" w:space="0" w:color="auto"/>
          </w:divBdr>
        </w:div>
        <w:div w:id="461966784">
          <w:marLeft w:val="0"/>
          <w:marRight w:val="0"/>
          <w:marTop w:val="0"/>
          <w:marBottom w:val="0"/>
          <w:divBdr>
            <w:top w:val="none" w:sz="0" w:space="0" w:color="auto"/>
            <w:left w:val="none" w:sz="0" w:space="0" w:color="auto"/>
            <w:bottom w:val="none" w:sz="0" w:space="0" w:color="auto"/>
            <w:right w:val="none" w:sz="0" w:space="0" w:color="auto"/>
          </w:divBdr>
        </w:div>
        <w:div w:id="447742795">
          <w:marLeft w:val="0"/>
          <w:marRight w:val="0"/>
          <w:marTop w:val="0"/>
          <w:marBottom w:val="0"/>
          <w:divBdr>
            <w:top w:val="none" w:sz="0" w:space="0" w:color="auto"/>
            <w:left w:val="none" w:sz="0" w:space="0" w:color="auto"/>
            <w:bottom w:val="none" w:sz="0" w:space="0" w:color="auto"/>
            <w:right w:val="none" w:sz="0" w:space="0" w:color="auto"/>
          </w:divBdr>
        </w:div>
        <w:div w:id="1743943043">
          <w:marLeft w:val="0"/>
          <w:marRight w:val="0"/>
          <w:marTop w:val="0"/>
          <w:marBottom w:val="0"/>
          <w:divBdr>
            <w:top w:val="none" w:sz="0" w:space="0" w:color="auto"/>
            <w:left w:val="none" w:sz="0" w:space="0" w:color="auto"/>
            <w:bottom w:val="none" w:sz="0" w:space="0" w:color="auto"/>
            <w:right w:val="none" w:sz="0" w:space="0" w:color="auto"/>
          </w:divBdr>
        </w:div>
        <w:div w:id="1501851333">
          <w:marLeft w:val="0"/>
          <w:marRight w:val="0"/>
          <w:marTop w:val="0"/>
          <w:marBottom w:val="0"/>
          <w:divBdr>
            <w:top w:val="none" w:sz="0" w:space="0" w:color="auto"/>
            <w:left w:val="none" w:sz="0" w:space="0" w:color="auto"/>
            <w:bottom w:val="none" w:sz="0" w:space="0" w:color="auto"/>
            <w:right w:val="none" w:sz="0" w:space="0" w:color="auto"/>
          </w:divBdr>
        </w:div>
        <w:div w:id="747463991">
          <w:marLeft w:val="0"/>
          <w:marRight w:val="0"/>
          <w:marTop w:val="0"/>
          <w:marBottom w:val="0"/>
          <w:divBdr>
            <w:top w:val="none" w:sz="0" w:space="0" w:color="auto"/>
            <w:left w:val="none" w:sz="0" w:space="0" w:color="auto"/>
            <w:bottom w:val="none" w:sz="0" w:space="0" w:color="auto"/>
            <w:right w:val="none" w:sz="0" w:space="0" w:color="auto"/>
          </w:divBdr>
        </w:div>
        <w:div w:id="652686963">
          <w:marLeft w:val="0"/>
          <w:marRight w:val="0"/>
          <w:marTop w:val="0"/>
          <w:marBottom w:val="0"/>
          <w:divBdr>
            <w:top w:val="none" w:sz="0" w:space="0" w:color="auto"/>
            <w:left w:val="none" w:sz="0" w:space="0" w:color="auto"/>
            <w:bottom w:val="none" w:sz="0" w:space="0" w:color="auto"/>
            <w:right w:val="none" w:sz="0" w:space="0" w:color="auto"/>
          </w:divBdr>
        </w:div>
        <w:div w:id="1812139690">
          <w:marLeft w:val="0"/>
          <w:marRight w:val="0"/>
          <w:marTop w:val="0"/>
          <w:marBottom w:val="0"/>
          <w:divBdr>
            <w:top w:val="none" w:sz="0" w:space="0" w:color="auto"/>
            <w:left w:val="none" w:sz="0" w:space="0" w:color="auto"/>
            <w:bottom w:val="none" w:sz="0" w:space="0" w:color="auto"/>
            <w:right w:val="none" w:sz="0" w:space="0" w:color="auto"/>
          </w:divBdr>
        </w:div>
        <w:div w:id="702949205">
          <w:marLeft w:val="0"/>
          <w:marRight w:val="0"/>
          <w:marTop w:val="0"/>
          <w:marBottom w:val="0"/>
          <w:divBdr>
            <w:top w:val="none" w:sz="0" w:space="0" w:color="auto"/>
            <w:left w:val="none" w:sz="0" w:space="0" w:color="auto"/>
            <w:bottom w:val="none" w:sz="0" w:space="0" w:color="auto"/>
            <w:right w:val="none" w:sz="0" w:space="0" w:color="auto"/>
          </w:divBdr>
        </w:div>
        <w:div w:id="128012966">
          <w:marLeft w:val="0"/>
          <w:marRight w:val="0"/>
          <w:marTop w:val="0"/>
          <w:marBottom w:val="0"/>
          <w:divBdr>
            <w:top w:val="none" w:sz="0" w:space="0" w:color="auto"/>
            <w:left w:val="none" w:sz="0" w:space="0" w:color="auto"/>
            <w:bottom w:val="none" w:sz="0" w:space="0" w:color="auto"/>
            <w:right w:val="none" w:sz="0" w:space="0" w:color="auto"/>
          </w:divBdr>
        </w:div>
        <w:div w:id="1128623956">
          <w:marLeft w:val="0"/>
          <w:marRight w:val="0"/>
          <w:marTop w:val="0"/>
          <w:marBottom w:val="0"/>
          <w:divBdr>
            <w:top w:val="none" w:sz="0" w:space="0" w:color="auto"/>
            <w:left w:val="none" w:sz="0" w:space="0" w:color="auto"/>
            <w:bottom w:val="none" w:sz="0" w:space="0" w:color="auto"/>
            <w:right w:val="none" w:sz="0" w:space="0" w:color="auto"/>
          </w:divBdr>
        </w:div>
        <w:div w:id="446776060">
          <w:marLeft w:val="0"/>
          <w:marRight w:val="0"/>
          <w:marTop w:val="0"/>
          <w:marBottom w:val="0"/>
          <w:divBdr>
            <w:top w:val="none" w:sz="0" w:space="0" w:color="auto"/>
            <w:left w:val="none" w:sz="0" w:space="0" w:color="auto"/>
            <w:bottom w:val="none" w:sz="0" w:space="0" w:color="auto"/>
            <w:right w:val="none" w:sz="0" w:space="0" w:color="auto"/>
          </w:divBdr>
        </w:div>
        <w:div w:id="1471438090">
          <w:marLeft w:val="0"/>
          <w:marRight w:val="0"/>
          <w:marTop w:val="0"/>
          <w:marBottom w:val="0"/>
          <w:divBdr>
            <w:top w:val="none" w:sz="0" w:space="0" w:color="auto"/>
            <w:left w:val="none" w:sz="0" w:space="0" w:color="auto"/>
            <w:bottom w:val="none" w:sz="0" w:space="0" w:color="auto"/>
            <w:right w:val="none" w:sz="0" w:space="0" w:color="auto"/>
          </w:divBdr>
        </w:div>
        <w:div w:id="2115905554">
          <w:marLeft w:val="0"/>
          <w:marRight w:val="0"/>
          <w:marTop w:val="0"/>
          <w:marBottom w:val="0"/>
          <w:divBdr>
            <w:top w:val="none" w:sz="0" w:space="0" w:color="auto"/>
            <w:left w:val="none" w:sz="0" w:space="0" w:color="auto"/>
            <w:bottom w:val="none" w:sz="0" w:space="0" w:color="auto"/>
            <w:right w:val="none" w:sz="0" w:space="0" w:color="auto"/>
          </w:divBdr>
        </w:div>
        <w:div w:id="1553537754">
          <w:marLeft w:val="0"/>
          <w:marRight w:val="0"/>
          <w:marTop w:val="0"/>
          <w:marBottom w:val="0"/>
          <w:divBdr>
            <w:top w:val="none" w:sz="0" w:space="0" w:color="auto"/>
            <w:left w:val="none" w:sz="0" w:space="0" w:color="auto"/>
            <w:bottom w:val="none" w:sz="0" w:space="0" w:color="auto"/>
            <w:right w:val="none" w:sz="0" w:space="0" w:color="auto"/>
          </w:divBdr>
        </w:div>
        <w:div w:id="755592724">
          <w:marLeft w:val="0"/>
          <w:marRight w:val="0"/>
          <w:marTop w:val="0"/>
          <w:marBottom w:val="0"/>
          <w:divBdr>
            <w:top w:val="none" w:sz="0" w:space="0" w:color="auto"/>
            <w:left w:val="none" w:sz="0" w:space="0" w:color="auto"/>
            <w:bottom w:val="none" w:sz="0" w:space="0" w:color="auto"/>
            <w:right w:val="none" w:sz="0" w:space="0" w:color="auto"/>
          </w:divBdr>
        </w:div>
        <w:div w:id="753550592">
          <w:marLeft w:val="0"/>
          <w:marRight w:val="0"/>
          <w:marTop w:val="0"/>
          <w:marBottom w:val="0"/>
          <w:divBdr>
            <w:top w:val="none" w:sz="0" w:space="0" w:color="auto"/>
            <w:left w:val="none" w:sz="0" w:space="0" w:color="auto"/>
            <w:bottom w:val="none" w:sz="0" w:space="0" w:color="auto"/>
            <w:right w:val="none" w:sz="0" w:space="0" w:color="auto"/>
          </w:divBdr>
        </w:div>
        <w:div w:id="770782029">
          <w:marLeft w:val="0"/>
          <w:marRight w:val="0"/>
          <w:marTop w:val="0"/>
          <w:marBottom w:val="0"/>
          <w:divBdr>
            <w:top w:val="none" w:sz="0" w:space="0" w:color="auto"/>
            <w:left w:val="none" w:sz="0" w:space="0" w:color="auto"/>
            <w:bottom w:val="none" w:sz="0" w:space="0" w:color="auto"/>
            <w:right w:val="none" w:sz="0" w:space="0" w:color="auto"/>
          </w:divBdr>
        </w:div>
        <w:div w:id="474689729">
          <w:marLeft w:val="0"/>
          <w:marRight w:val="0"/>
          <w:marTop w:val="0"/>
          <w:marBottom w:val="0"/>
          <w:divBdr>
            <w:top w:val="none" w:sz="0" w:space="0" w:color="auto"/>
            <w:left w:val="none" w:sz="0" w:space="0" w:color="auto"/>
            <w:bottom w:val="none" w:sz="0" w:space="0" w:color="auto"/>
            <w:right w:val="none" w:sz="0" w:space="0" w:color="auto"/>
          </w:divBdr>
        </w:div>
        <w:div w:id="1883901152">
          <w:marLeft w:val="0"/>
          <w:marRight w:val="0"/>
          <w:marTop w:val="0"/>
          <w:marBottom w:val="0"/>
          <w:divBdr>
            <w:top w:val="none" w:sz="0" w:space="0" w:color="auto"/>
            <w:left w:val="none" w:sz="0" w:space="0" w:color="auto"/>
            <w:bottom w:val="none" w:sz="0" w:space="0" w:color="auto"/>
            <w:right w:val="none" w:sz="0" w:space="0" w:color="auto"/>
          </w:divBdr>
        </w:div>
        <w:div w:id="17586843">
          <w:marLeft w:val="0"/>
          <w:marRight w:val="0"/>
          <w:marTop w:val="0"/>
          <w:marBottom w:val="0"/>
          <w:divBdr>
            <w:top w:val="none" w:sz="0" w:space="0" w:color="auto"/>
            <w:left w:val="none" w:sz="0" w:space="0" w:color="auto"/>
            <w:bottom w:val="none" w:sz="0" w:space="0" w:color="auto"/>
            <w:right w:val="none" w:sz="0" w:space="0" w:color="auto"/>
          </w:divBdr>
        </w:div>
        <w:div w:id="135991976">
          <w:marLeft w:val="0"/>
          <w:marRight w:val="0"/>
          <w:marTop w:val="0"/>
          <w:marBottom w:val="0"/>
          <w:divBdr>
            <w:top w:val="none" w:sz="0" w:space="0" w:color="auto"/>
            <w:left w:val="none" w:sz="0" w:space="0" w:color="auto"/>
            <w:bottom w:val="none" w:sz="0" w:space="0" w:color="auto"/>
            <w:right w:val="none" w:sz="0" w:space="0" w:color="auto"/>
          </w:divBdr>
        </w:div>
        <w:div w:id="1101488785">
          <w:marLeft w:val="0"/>
          <w:marRight w:val="0"/>
          <w:marTop w:val="0"/>
          <w:marBottom w:val="0"/>
          <w:divBdr>
            <w:top w:val="none" w:sz="0" w:space="0" w:color="auto"/>
            <w:left w:val="none" w:sz="0" w:space="0" w:color="auto"/>
            <w:bottom w:val="none" w:sz="0" w:space="0" w:color="auto"/>
            <w:right w:val="none" w:sz="0" w:space="0" w:color="auto"/>
          </w:divBdr>
        </w:div>
        <w:div w:id="2139104242">
          <w:marLeft w:val="0"/>
          <w:marRight w:val="0"/>
          <w:marTop w:val="0"/>
          <w:marBottom w:val="0"/>
          <w:divBdr>
            <w:top w:val="none" w:sz="0" w:space="0" w:color="auto"/>
            <w:left w:val="none" w:sz="0" w:space="0" w:color="auto"/>
            <w:bottom w:val="none" w:sz="0" w:space="0" w:color="auto"/>
            <w:right w:val="none" w:sz="0" w:space="0" w:color="auto"/>
          </w:divBdr>
        </w:div>
        <w:div w:id="482086638">
          <w:marLeft w:val="0"/>
          <w:marRight w:val="0"/>
          <w:marTop w:val="0"/>
          <w:marBottom w:val="0"/>
          <w:divBdr>
            <w:top w:val="none" w:sz="0" w:space="0" w:color="auto"/>
            <w:left w:val="none" w:sz="0" w:space="0" w:color="auto"/>
            <w:bottom w:val="none" w:sz="0" w:space="0" w:color="auto"/>
            <w:right w:val="none" w:sz="0" w:space="0" w:color="auto"/>
          </w:divBdr>
        </w:div>
        <w:div w:id="1195537917">
          <w:marLeft w:val="0"/>
          <w:marRight w:val="0"/>
          <w:marTop w:val="0"/>
          <w:marBottom w:val="0"/>
          <w:divBdr>
            <w:top w:val="none" w:sz="0" w:space="0" w:color="auto"/>
            <w:left w:val="none" w:sz="0" w:space="0" w:color="auto"/>
            <w:bottom w:val="none" w:sz="0" w:space="0" w:color="auto"/>
            <w:right w:val="none" w:sz="0" w:space="0" w:color="auto"/>
          </w:divBdr>
        </w:div>
        <w:div w:id="692465475">
          <w:marLeft w:val="0"/>
          <w:marRight w:val="0"/>
          <w:marTop w:val="0"/>
          <w:marBottom w:val="0"/>
          <w:divBdr>
            <w:top w:val="none" w:sz="0" w:space="0" w:color="auto"/>
            <w:left w:val="none" w:sz="0" w:space="0" w:color="auto"/>
            <w:bottom w:val="none" w:sz="0" w:space="0" w:color="auto"/>
            <w:right w:val="none" w:sz="0" w:space="0" w:color="auto"/>
          </w:divBdr>
        </w:div>
      </w:divsChild>
    </w:div>
    <w:div w:id="1613051779">
      <w:bodyDiv w:val="1"/>
      <w:marLeft w:val="0"/>
      <w:marRight w:val="0"/>
      <w:marTop w:val="0"/>
      <w:marBottom w:val="0"/>
      <w:divBdr>
        <w:top w:val="none" w:sz="0" w:space="0" w:color="auto"/>
        <w:left w:val="none" w:sz="0" w:space="0" w:color="auto"/>
        <w:bottom w:val="none" w:sz="0" w:space="0" w:color="auto"/>
        <w:right w:val="none" w:sz="0" w:space="0" w:color="auto"/>
      </w:divBdr>
      <w:divsChild>
        <w:div w:id="413166260">
          <w:marLeft w:val="0"/>
          <w:marRight w:val="0"/>
          <w:marTop w:val="0"/>
          <w:marBottom w:val="0"/>
          <w:divBdr>
            <w:top w:val="none" w:sz="0" w:space="0" w:color="auto"/>
            <w:left w:val="none" w:sz="0" w:space="0" w:color="auto"/>
            <w:bottom w:val="none" w:sz="0" w:space="0" w:color="auto"/>
            <w:right w:val="none" w:sz="0" w:space="0" w:color="auto"/>
          </w:divBdr>
        </w:div>
        <w:div w:id="467014072">
          <w:marLeft w:val="0"/>
          <w:marRight w:val="0"/>
          <w:marTop w:val="0"/>
          <w:marBottom w:val="0"/>
          <w:divBdr>
            <w:top w:val="none" w:sz="0" w:space="0" w:color="auto"/>
            <w:left w:val="none" w:sz="0" w:space="0" w:color="auto"/>
            <w:bottom w:val="none" w:sz="0" w:space="0" w:color="auto"/>
            <w:right w:val="none" w:sz="0" w:space="0" w:color="auto"/>
          </w:divBdr>
        </w:div>
        <w:div w:id="1300915891">
          <w:marLeft w:val="0"/>
          <w:marRight w:val="0"/>
          <w:marTop w:val="0"/>
          <w:marBottom w:val="0"/>
          <w:divBdr>
            <w:top w:val="none" w:sz="0" w:space="0" w:color="auto"/>
            <w:left w:val="none" w:sz="0" w:space="0" w:color="auto"/>
            <w:bottom w:val="none" w:sz="0" w:space="0" w:color="auto"/>
            <w:right w:val="none" w:sz="0" w:space="0" w:color="auto"/>
          </w:divBdr>
        </w:div>
        <w:div w:id="270745861">
          <w:marLeft w:val="0"/>
          <w:marRight w:val="0"/>
          <w:marTop w:val="0"/>
          <w:marBottom w:val="0"/>
          <w:divBdr>
            <w:top w:val="none" w:sz="0" w:space="0" w:color="auto"/>
            <w:left w:val="none" w:sz="0" w:space="0" w:color="auto"/>
            <w:bottom w:val="none" w:sz="0" w:space="0" w:color="auto"/>
            <w:right w:val="none" w:sz="0" w:space="0" w:color="auto"/>
          </w:divBdr>
        </w:div>
        <w:div w:id="1821579466">
          <w:marLeft w:val="0"/>
          <w:marRight w:val="0"/>
          <w:marTop w:val="0"/>
          <w:marBottom w:val="0"/>
          <w:divBdr>
            <w:top w:val="none" w:sz="0" w:space="0" w:color="auto"/>
            <w:left w:val="none" w:sz="0" w:space="0" w:color="auto"/>
            <w:bottom w:val="none" w:sz="0" w:space="0" w:color="auto"/>
            <w:right w:val="none" w:sz="0" w:space="0" w:color="auto"/>
          </w:divBdr>
        </w:div>
        <w:div w:id="226965733">
          <w:marLeft w:val="0"/>
          <w:marRight w:val="0"/>
          <w:marTop w:val="0"/>
          <w:marBottom w:val="0"/>
          <w:divBdr>
            <w:top w:val="none" w:sz="0" w:space="0" w:color="auto"/>
            <w:left w:val="none" w:sz="0" w:space="0" w:color="auto"/>
            <w:bottom w:val="none" w:sz="0" w:space="0" w:color="auto"/>
            <w:right w:val="none" w:sz="0" w:space="0" w:color="auto"/>
          </w:divBdr>
        </w:div>
        <w:div w:id="1280725951">
          <w:marLeft w:val="0"/>
          <w:marRight w:val="0"/>
          <w:marTop w:val="0"/>
          <w:marBottom w:val="0"/>
          <w:divBdr>
            <w:top w:val="none" w:sz="0" w:space="0" w:color="auto"/>
            <w:left w:val="none" w:sz="0" w:space="0" w:color="auto"/>
            <w:bottom w:val="none" w:sz="0" w:space="0" w:color="auto"/>
            <w:right w:val="none" w:sz="0" w:space="0" w:color="auto"/>
          </w:divBdr>
        </w:div>
        <w:div w:id="1644775602">
          <w:marLeft w:val="0"/>
          <w:marRight w:val="0"/>
          <w:marTop w:val="0"/>
          <w:marBottom w:val="0"/>
          <w:divBdr>
            <w:top w:val="none" w:sz="0" w:space="0" w:color="auto"/>
            <w:left w:val="none" w:sz="0" w:space="0" w:color="auto"/>
            <w:bottom w:val="none" w:sz="0" w:space="0" w:color="auto"/>
            <w:right w:val="none" w:sz="0" w:space="0" w:color="auto"/>
          </w:divBdr>
        </w:div>
        <w:div w:id="1815828856">
          <w:marLeft w:val="0"/>
          <w:marRight w:val="0"/>
          <w:marTop w:val="0"/>
          <w:marBottom w:val="0"/>
          <w:divBdr>
            <w:top w:val="none" w:sz="0" w:space="0" w:color="auto"/>
            <w:left w:val="none" w:sz="0" w:space="0" w:color="auto"/>
            <w:bottom w:val="none" w:sz="0" w:space="0" w:color="auto"/>
            <w:right w:val="none" w:sz="0" w:space="0" w:color="auto"/>
          </w:divBdr>
        </w:div>
        <w:div w:id="1816752644">
          <w:marLeft w:val="0"/>
          <w:marRight w:val="0"/>
          <w:marTop w:val="0"/>
          <w:marBottom w:val="0"/>
          <w:divBdr>
            <w:top w:val="none" w:sz="0" w:space="0" w:color="auto"/>
            <w:left w:val="none" w:sz="0" w:space="0" w:color="auto"/>
            <w:bottom w:val="none" w:sz="0" w:space="0" w:color="auto"/>
            <w:right w:val="none" w:sz="0" w:space="0" w:color="auto"/>
          </w:divBdr>
        </w:div>
        <w:div w:id="601840888">
          <w:marLeft w:val="0"/>
          <w:marRight w:val="0"/>
          <w:marTop w:val="0"/>
          <w:marBottom w:val="0"/>
          <w:divBdr>
            <w:top w:val="none" w:sz="0" w:space="0" w:color="auto"/>
            <w:left w:val="none" w:sz="0" w:space="0" w:color="auto"/>
            <w:bottom w:val="none" w:sz="0" w:space="0" w:color="auto"/>
            <w:right w:val="none" w:sz="0" w:space="0" w:color="auto"/>
          </w:divBdr>
        </w:div>
        <w:div w:id="1249268728">
          <w:marLeft w:val="0"/>
          <w:marRight w:val="0"/>
          <w:marTop w:val="0"/>
          <w:marBottom w:val="0"/>
          <w:divBdr>
            <w:top w:val="none" w:sz="0" w:space="0" w:color="auto"/>
            <w:left w:val="none" w:sz="0" w:space="0" w:color="auto"/>
            <w:bottom w:val="none" w:sz="0" w:space="0" w:color="auto"/>
            <w:right w:val="none" w:sz="0" w:space="0" w:color="auto"/>
          </w:divBdr>
        </w:div>
        <w:div w:id="1660041249">
          <w:marLeft w:val="0"/>
          <w:marRight w:val="0"/>
          <w:marTop w:val="0"/>
          <w:marBottom w:val="0"/>
          <w:divBdr>
            <w:top w:val="none" w:sz="0" w:space="0" w:color="auto"/>
            <w:left w:val="none" w:sz="0" w:space="0" w:color="auto"/>
            <w:bottom w:val="none" w:sz="0" w:space="0" w:color="auto"/>
            <w:right w:val="none" w:sz="0" w:space="0" w:color="auto"/>
          </w:divBdr>
        </w:div>
        <w:div w:id="1930000943">
          <w:marLeft w:val="0"/>
          <w:marRight w:val="0"/>
          <w:marTop w:val="0"/>
          <w:marBottom w:val="0"/>
          <w:divBdr>
            <w:top w:val="none" w:sz="0" w:space="0" w:color="auto"/>
            <w:left w:val="none" w:sz="0" w:space="0" w:color="auto"/>
            <w:bottom w:val="none" w:sz="0" w:space="0" w:color="auto"/>
            <w:right w:val="none" w:sz="0" w:space="0" w:color="auto"/>
          </w:divBdr>
        </w:div>
        <w:div w:id="2123648345">
          <w:marLeft w:val="0"/>
          <w:marRight w:val="0"/>
          <w:marTop w:val="0"/>
          <w:marBottom w:val="0"/>
          <w:divBdr>
            <w:top w:val="none" w:sz="0" w:space="0" w:color="auto"/>
            <w:left w:val="none" w:sz="0" w:space="0" w:color="auto"/>
            <w:bottom w:val="none" w:sz="0" w:space="0" w:color="auto"/>
            <w:right w:val="none" w:sz="0" w:space="0" w:color="auto"/>
          </w:divBdr>
        </w:div>
        <w:div w:id="1595282870">
          <w:marLeft w:val="0"/>
          <w:marRight w:val="0"/>
          <w:marTop w:val="0"/>
          <w:marBottom w:val="0"/>
          <w:divBdr>
            <w:top w:val="none" w:sz="0" w:space="0" w:color="auto"/>
            <w:left w:val="none" w:sz="0" w:space="0" w:color="auto"/>
            <w:bottom w:val="none" w:sz="0" w:space="0" w:color="auto"/>
            <w:right w:val="none" w:sz="0" w:space="0" w:color="auto"/>
          </w:divBdr>
        </w:div>
        <w:div w:id="1847016587">
          <w:marLeft w:val="0"/>
          <w:marRight w:val="0"/>
          <w:marTop w:val="0"/>
          <w:marBottom w:val="0"/>
          <w:divBdr>
            <w:top w:val="none" w:sz="0" w:space="0" w:color="auto"/>
            <w:left w:val="none" w:sz="0" w:space="0" w:color="auto"/>
            <w:bottom w:val="none" w:sz="0" w:space="0" w:color="auto"/>
            <w:right w:val="none" w:sz="0" w:space="0" w:color="auto"/>
          </w:divBdr>
        </w:div>
        <w:div w:id="779030024">
          <w:marLeft w:val="0"/>
          <w:marRight w:val="0"/>
          <w:marTop w:val="0"/>
          <w:marBottom w:val="0"/>
          <w:divBdr>
            <w:top w:val="none" w:sz="0" w:space="0" w:color="auto"/>
            <w:left w:val="none" w:sz="0" w:space="0" w:color="auto"/>
            <w:bottom w:val="none" w:sz="0" w:space="0" w:color="auto"/>
            <w:right w:val="none" w:sz="0" w:space="0" w:color="auto"/>
          </w:divBdr>
        </w:div>
        <w:div w:id="1728337285">
          <w:marLeft w:val="0"/>
          <w:marRight w:val="0"/>
          <w:marTop w:val="0"/>
          <w:marBottom w:val="0"/>
          <w:divBdr>
            <w:top w:val="none" w:sz="0" w:space="0" w:color="auto"/>
            <w:left w:val="none" w:sz="0" w:space="0" w:color="auto"/>
            <w:bottom w:val="none" w:sz="0" w:space="0" w:color="auto"/>
            <w:right w:val="none" w:sz="0" w:space="0" w:color="auto"/>
          </w:divBdr>
        </w:div>
        <w:div w:id="1770543499">
          <w:marLeft w:val="0"/>
          <w:marRight w:val="0"/>
          <w:marTop w:val="0"/>
          <w:marBottom w:val="0"/>
          <w:divBdr>
            <w:top w:val="none" w:sz="0" w:space="0" w:color="auto"/>
            <w:left w:val="none" w:sz="0" w:space="0" w:color="auto"/>
            <w:bottom w:val="none" w:sz="0" w:space="0" w:color="auto"/>
            <w:right w:val="none" w:sz="0" w:space="0" w:color="auto"/>
          </w:divBdr>
        </w:div>
        <w:div w:id="1441149340">
          <w:marLeft w:val="0"/>
          <w:marRight w:val="0"/>
          <w:marTop w:val="0"/>
          <w:marBottom w:val="0"/>
          <w:divBdr>
            <w:top w:val="none" w:sz="0" w:space="0" w:color="auto"/>
            <w:left w:val="none" w:sz="0" w:space="0" w:color="auto"/>
            <w:bottom w:val="none" w:sz="0" w:space="0" w:color="auto"/>
            <w:right w:val="none" w:sz="0" w:space="0" w:color="auto"/>
          </w:divBdr>
        </w:div>
        <w:div w:id="1028333352">
          <w:marLeft w:val="0"/>
          <w:marRight w:val="0"/>
          <w:marTop w:val="0"/>
          <w:marBottom w:val="0"/>
          <w:divBdr>
            <w:top w:val="none" w:sz="0" w:space="0" w:color="auto"/>
            <w:left w:val="none" w:sz="0" w:space="0" w:color="auto"/>
            <w:bottom w:val="none" w:sz="0" w:space="0" w:color="auto"/>
            <w:right w:val="none" w:sz="0" w:space="0" w:color="auto"/>
          </w:divBdr>
        </w:div>
        <w:div w:id="1573659451">
          <w:marLeft w:val="0"/>
          <w:marRight w:val="0"/>
          <w:marTop w:val="0"/>
          <w:marBottom w:val="0"/>
          <w:divBdr>
            <w:top w:val="none" w:sz="0" w:space="0" w:color="auto"/>
            <w:left w:val="none" w:sz="0" w:space="0" w:color="auto"/>
            <w:bottom w:val="none" w:sz="0" w:space="0" w:color="auto"/>
            <w:right w:val="none" w:sz="0" w:space="0" w:color="auto"/>
          </w:divBdr>
        </w:div>
        <w:div w:id="728500872">
          <w:marLeft w:val="0"/>
          <w:marRight w:val="0"/>
          <w:marTop w:val="0"/>
          <w:marBottom w:val="0"/>
          <w:divBdr>
            <w:top w:val="none" w:sz="0" w:space="0" w:color="auto"/>
            <w:left w:val="none" w:sz="0" w:space="0" w:color="auto"/>
            <w:bottom w:val="none" w:sz="0" w:space="0" w:color="auto"/>
            <w:right w:val="none" w:sz="0" w:space="0" w:color="auto"/>
          </w:divBdr>
        </w:div>
        <w:div w:id="526060224">
          <w:marLeft w:val="0"/>
          <w:marRight w:val="0"/>
          <w:marTop w:val="0"/>
          <w:marBottom w:val="0"/>
          <w:divBdr>
            <w:top w:val="none" w:sz="0" w:space="0" w:color="auto"/>
            <w:left w:val="none" w:sz="0" w:space="0" w:color="auto"/>
            <w:bottom w:val="none" w:sz="0" w:space="0" w:color="auto"/>
            <w:right w:val="none" w:sz="0" w:space="0" w:color="auto"/>
          </w:divBdr>
        </w:div>
        <w:div w:id="14963213">
          <w:marLeft w:val="0"/>
          <w:marRight w:val="0"/>
          <w:marTop w:val="0"/>
          <w:marBottom w:val="0"/>
          <w:divBdr>
            <w:top w:val="none" w:sz="0" w:space="0" w:color="auto"/>
            <w:left w:val="none" w:sz="0" w:space="0" w:color="auto"/>
            <w:bottom w:val="none" w:sz="0" w:space="0" w:color="auto"/>
            <w:right w:val="none" w:sz="0" w:space="0" w:color="auto"/>
          </w:divBdr>
        </w:div>
        <w:div w:id="1843816119">
          <w:marLeft w:val="0"/>
          <w:marRight w:val="0"/>
          <w:marTop w:val="0"/>
          <w:marBottom w:val="0"/>
          <w:divBdr>
            <w:top w:val="none" w:sz="0" w:space="0" w:color="auto"/>
            <w:left w:val="none" w:sz="0" w:space="0" w:color="auto"/>
            <w:bottom w:val="none" w:sz="0" w:space="0" w:color="auto"/>
            <w:right w:val="none" w:sz="0" w:space="0" w:color="auto"/>
          </w:divBdr>
        </w:div>
        <w:div w:id="496917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1894</Words>
  <Characters>10800</Characters>
  <Application>Microsoft Office Word</Application>
  <DocSecurity>0</DocSecurity>
  <Lines>90</Lines>
  <Paragraphs>25</Paragraphs>
  <ScaleCrop>false</ScaleCrop>
  <Company/>
  <LinksUpToDate>false</LinksUpToDate>
  <CharactersWithSpaces>12669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2020-04-26T12:07:00Z</dcterms:created>
  <dcterms:modified xsi:type="dcterms:W3CDTF">2020-04-26T12:07:00Z</dcterms:modified>
</cp:coreProperties>
</file>