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F50" w:rsidRPr="00844F50" w:rsidRDefault="00844F50" w:rsidP="00844F50">
      <w:pPr>
        <w:jc w:val="center"/>
        <w:rPr>
          <w:sz w:val="32"/>
          <w:szCs w:val="32"/>
        </w:rPr>
      </w:pPr>
      <w:bookmarkStart w:id="0" w:name="Anchor1"/>
      <w:bookmarkEnd w:id="0"/>
      <w:r w:rsidRPr="00844F50">
        <w:rPr>
          <w:sz w:val="32"/>
          <w:szCs w:val="32"/>
          <w:rtl/>
        </w:rPr>
        <w:t xml:space="preserve">الطعن رقم </w:t>
      </w:r>
      <w:r w:rsidRPr="00844F50">
        <w:rPr>
          <w:sz w:val="32"/>
          <w:szCs w:val="32"/>
        </w:rPr>
        <w:t>993/20</w:t>
      </w:r>
      <w:bookmarkStart w:id="1" w:name="_GoBack"/>
      <w:bookmarkEnd w:id="1"/>
      <w:r w:rsidRPr="00844F50">
        <w:rPr>
          <w:sz w:val="32"/>
          <w:szCs w:val="32"/>
        </w:rPr>
        <w:t>13</w:t>
      </w:r>
    </w:p>
    <w:p w:rsidR="00844F50" w:rsidRPr="00844F50" w:rsidRDefault="00844F50" w:rsidP="00844F50">
      <w:pPr>
        <w:rPr>
          <w:sz w:val="32"/>
          <w:szCs w:val="32"/>
        </w:rPr>
      </w:pPr>
      <w:bookmarkStart w:id="2" w:name="Anchor7"/>
      <w:bookmarkEnd w:id="2"/>
      <w:r w:rsidRPr="00844F50">
        <w:rPr>
          <w:sz w:val="32"/>
          <w:szCs w:val="32"/>
          <w:rtl/>
        </w:rPr>
        <w:t>هيئة المحكمة</w:t>
      </w:r>
      <w:r w:rsidRPr="00844F50">
        <w:rPr>
          <w:sz w:val="32"/>
          <w:szCs w:val="32"/>
        </w:rPr>
        <w:t xml:space="preserve">: </w:t>
      </w:r>
      <w:r w:rsidRPr="00844F50">
        <w:rPr>
          <w:sz w:val="32"/>
          <w:szCs w:val="32"/>
          <w:rtl/>
        </w:rPr>
        <w:t>برئاسة السيد المستشار خالد المزيني وكيل المحكمة وعضوية السادة المستشارين عبد الهادي الجفين وصلاح الدين كامل وأمين طموم وأحمد أبو ضيف</w:t>
      </w:r>
    </w:p>
    <w:bookmarkStart w:id="3" w:name="Anchor27"/>
    <w:bookmarkEnd w:id="3"/>
    <w:p w:rsidR="00844F50" w:rsidRPr="00844F50" w:rsidRDefault="00844F50" w:rsidP="00844F50">
      <w:pPr>
        <w:rPr>
          <w:sz w:val="32"/>
          <w:szCs w:val="32"/>
        </w:rPr>
      </w:pPr>
      <w:r w:rsidRPr="00844F50">
        <w:rPr>
          <w:sz w:val="32"/>
          <w:szCs w:val="32"/>
        </w:rPr>
        <w:fldChar w:fldCharType="begin"/>
      </w:r>
      <w:r w:rsidRPr="00844F50">
        <w:rPr>
          <w:sz w:val="32"/>
          <w:szCs w:val="32"/>
        </w:rPr>
        <w:instrText xml:space="preserve"> HYPERLINK "http://www.law.gov.kw/KWT_CC-Ar/00_2014/00_%D8%A7%D9%84%D8%AF%D8%A7%D8%A6%D8%B1%D8%A9%20%D8%A7%D9%84%D8%AA%D8%AC%D8%A7%D8%B1%D9%8A%D8%A9/KWT-CC-Ar_2014-11-12_00993_Taan.html" \l "TM2014_993_1" </w:instrText>
      </w:r>
      <w:r w:rsidRPr="00844F50">
        <w:rPr>
          <w:sz w:val="32"/>
          <w:szCs w:val="32"/>
        </w:rPr>
        <w:fldChar w:fldCharType="separate"/>
      </w:r>
      <w:r w:rsidRPr="00844F50">
        <w:rPr>
          <w:rStyle w:val="Hyperlink"/>
          <w:sz w:val="32"/>
          <w:szCs w:val="32"/>
        </w:rPr>
        <w:t xml:space="preserve">1 - </w:t>
      </w:r>
      <w:r w:rsidRPr="00844F50">
        <w:rPr>
          <w:rStyle w:val="Hyperlink"/>
          <w:sz w:val="32"/>
          <w:szCs w:val="32"/>
          <w:rtl/>
        </w:rPr>
        <w:t>ان لمحكمة الموضوع سلطة تحصيل وفهم الواقع في الدعوى وتقدير الادلة</w:t>
      </w:r>
      <w:r w:rsidRPr="00844F50">
        <w:rPr>
          <w:rStyle w:val="Hyperlink"/>
          <w:sz w:val="32"/>
          <w:szCs w:val="32"/>
        </w:rPr>
        <w:t>.</w:t>
      </w:r>
      <w:r w:rsidRPr="00844F50">
        <w:rPr>
          <w:sz w:val="32"/>
          <w:szCs w:val="32"/>
        </w:rPr>
        <w:fldChar w:fldCharType="end"/>
      </w:r>
    </w:p>
    <w:bookmarkStart w:id="4" w:name="Anchor36"/>
    <w:bookmarkEnd w:id="4"/>
    <w:p w:rsidR="00844F50" w:rsidRPr="00844F50" w:rsidRDefault="00844F50" w:rsidP="00844F50">
      <w:pPr>
        <w:rPr>
          <w:sz w:val="32"/>
          <w:szCs w:val="32"/>
        </w:rPr>
      </w:pPr>
      <w:r w:rsidRPr="00844F50">
        <w:rPr>
          <w:sz w:val="32"/>
          <w:szCs w:val="32"/>
        </w:rPr>
        <w:fldChar w:fldCharType="begin"/>
      </w:r>
      <w:r w:rsidRPr="00844F50">
        <w:rPr>
          <w:sz w:val="32"/>
          <w:szCs w:val="32"/>
        </w:rPr>
        <w:instrText xml:space="preserve"> HYPERLINK "http://www.law.gov.kw/KWT_CC-Ar/00_2014/00_%D8%A7%D9%84%D8%AF%D8%A7%D8%A6%D8%B1%D8%A9%20%D8%A7%D9%84%D8%AA%D8%AC%D8%A7%D8%B1%D9%8A%D8%A9/KWT-CC-Ar_2014-11-12_00993_Taan.html" \l "TM2014_993_2" </w:instrText>
      </w:r>
      <w:r w:rsidRPr="00844F50">
        <w:rPr>
          <w:sz w:val="32"/>
          <w:szCs w:val="32"/>
        </w:rPr>
        <w:fldChar w:fldCharType="separate"/>
      </w:r>
      <w:r w:rsidRPr="00844F50">
        <w:rPr>
          <w:rStyle w:val="Hyperlink"/>
          <w:sz w:val="32"/>
          <w:szCs w:val="32"/>
        </w:rPr>
        <w:t xml:space="preserve">2 – </w:t>
      </w:r>
      <w:r w:rsidRPr="00844F50">
        <w:rPr>
          <w:rStyle w:val="Hyperlink"/>
          <w:sz w:val="32"/>
          <w:szCs w:val="32"/>
          <w:rtl/>
        </w:rPr>
        <w:t>ان تأمين رب العمل ضد إصابات عماله هو نوع من التأمين من المسئولية وتسوده الصفة التعويضية</w:t>
      </w:r>
      <w:r w:rsidRPr="00844F50">
        <w:rPr>
          <w:rStyle w:val="Hyperlink"/>
          <w:sz w:val="32"/>
          <w:szCs w:val="32"/>
        </w:rPr>
        <w:t>.</w:t>
      </w:r>
      <w:r w:rsidRPr="00844F50">
        <w:rPr>
          <w:sz w:val="32"/>
          <w:szCs w:val="32"/>
        </w:rPr>
        <w:fldChar w:fldCharType="end"/>
      </w:r>
    </w:p>
    <w:bookmarkStart w:id="5" w:name="Anchor46"/>
    <w:bookmarkEnd w:id="5"/>
    <w:p w:rsidR="00844F50" w:rsidRPr="00844F50" w:rsidRDefault="00844F50" w:rsidP="00844F50">
      <w:pPr>
        <w:rPr>
          <w:sz w:val="32"/>
          <w:szCs w:val="32"/>
        </w:rPr>
      </w:pPr>
      <w:r w:rsidRPr="00844F50">
        <w:rPr>
          <w:sz w:val="32"/>
          <w:szCs w:val="32"/>
        </w:rPr>
        <w:fldChar w:fldCharType="begin"/>
      </w:r>
      <w:r w:rsidRPr="00844F50">
        <w:rPr>
          <w:sz w:val="32"/>
          <w:szCs w:val="32"/>
        </w:rPr>
        <w:instrText xml:space="preserve"> HYPERLINK "http://www.law.gov.kw/KWT_CC-Ar/00_2014/00_%D8%A7%D9%84%D8%AF%D8%A7%D8%A6%D8%B1%D8%A9%20%D8%A7%D9%84%D8%AA%D8%AC%D8%A7%D8%B1%D9%8A%D8%A9/KWT-CC-Ar_2014-11-12_00993_Taan.html" \l "TM2014_993_3" </w:instrText>
      </w:r>
      <w:r w:rsidRPr="00844F50">
        <w:rPr>
          <w:sz w:val="32"/>
          <w:szCs w:val="32"/>
        </w:rPr>
        <w:fldChar w:fldCharType="separate"/>
      </w:r>
      <w:r w:rsidRPr="00844F50">
        <w:rPr>
          <w:rStyle w:val="Hyperlink"/>
          <w:sz w:val="32"/>
          <w:szCs w:val="32"/>
        </w:rPr>
        <w:t xml:space="preserve">3 – </w:t>
      </w:r>
      <w:r w:rsidRPr="00844F50">
        <w:rPr>
          <w:rStyle w:val="Hyperlink"/>
          <w:sz w:val="32"/>
          <w:szCs w:val="32"/>
          <w:rtl/>
        </w:rPr>
        <w:t>ان مسسئولية الشركة المؤمن لديها تتحقق بمجرد كون السيارة مؤمنة لديها وثبوت مسئولية قائدها عن العمل غير المشروع</w:t>
      </w:r>
      <w:r w:rsidRPr="00844F50">
        <w:rPr>
          <w:rStyle w:val="Hyperlink"/>
          <w:sz w:val="32"/>
          <w:szCs w:val="32"/>
        </w:rPr>
        <w:t>.</w:t>
      </w:r>
      <w:r w:rsidRPr="00844F50">
        <w:rPr>
          <w:sz w:val="32"/>
          <w:szCs w:val="32"/>
        </w:rPr>
        <w:fldChar w:fldCharType="end"/>
      </w:r>
      <w:r w:rsidRPr="00844F50">
        <w:rPr>
          <w:sz w:val="32"/>
          <w:szCs w:val="32"/>
        </w:rPr>
        <w:br/>
      </w:r>
      <w:r w:rsidRPr="00844F50">
        <w:rPr>
          <w:sz w:val="32"/>
          <w:szCs w:val="32"/>
        </w:rPr>
        <w:br/>
      </w:r>
      <w:r w:rsidRPr="00844F50">
        <w:rPr>
          <w:sz w:val="32"/>
          <w:szCs w:val="32"/>
          <w:u w:val="single"/>
          <w:rtl/>
        </w:rPr>
        <w:t>ملاحظة</w:t>
      </w:r>
      <w:r w:rsidRPr="00844F50">
        <w:rPr>
          <w:sz w:val="32"/>
          <w:szCs w:val="32"/>
          <w:u w:val="single"/>
        </w:rPr>
        <w:t xml:space="preserve"> :</w:t>
      </w:r>
      <w:r w:rsidRPr="00844F50">
        <w:rPr>
          <w:sz w:val="32"/>
          <w:szCs w:val="32"/>
        </w:rPr>
        <w:br/>
      </w:r>
      <w:r w:rsidRPr="00844F50">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844F50" w:rsidRPr="00844F50" w:rsidRDefault="00844F50" w:rsidP="00844F50">
      <w:pPr>
        <w:rPr>
          <w:sz w:val="32"/>
          <w:szCs w:val="32"/>
        </w:rPr>
      </w:pPr>
      <w:bookmarkStart w:id="6" w:name="Anchor59"/>
      <w:bookmarkEnd w:id="6"/>
      <w:r w:rsidRPr="00844F50">
        <w:rPr>
          <w:b/>
          <w:bCs/>
          <w:sz w:val="32"/>
          <w:szCs w:val="32"/>
          <w:rtl/>
        </w:rPr>
        <w:t>المحكمـــة</w:t>
      </w:r>
    </w:p>
    <w:p w:rsidR="00844F50" w:rsidRPr="00844F50" w:rsidRDefault="00844F50" w:rsidP="00844F50">
      <w:pPr>
        <w:rPr>
          <w:sz w:val="32"/>
          <w:szCs w:val="32"/>
        </w:rPr>
      </w:pPr>
      <w:bookmarkStart w:id="7" w:name="Anchor60"/>
      <w:bookmarkEnd w:id="7"/>
      <w:r w:rsidRPr="00844F50">
        <w:rPr>
          <w:sz w:val="32"/>
          <w:szCs w:val="32"/>
          <w:rtl/>
        </w:rPr>
        <w:t>بعد الاطلاع على الأوراق والمداولة</w:t>
      </w:r>
      <w:r w:rsidRPr="00844F50">
        <w:rPr>
          <w:sz w:val="32"/>
          <w:szCs w:val="32"/>
        </w:rPr>
        <w:t>.</w:t>
      </w:r>
    </w:p>
    <w:p w:rsidR="00844F50" w:rsidRPr="00844F50" w:rsidRDefault="00844F50" w:rsidP="00844F50">
      <w:pPr>
        <w:rPr>
          <w:sz w:val="32"/>
          <w:szCs w:val="32"/>
        </w:rPr>
      </w:pPr>
      <w:bookmarkStart w:id="8" w:name="Anchor64"/>
      <w:bookmarkStart w:id="9" w:name="TM2014_993_1"/>
      <w:bookmarkEnd w:id="8"/>
      <w:bookmarkEnd w:id="9"/>
      <w:r w:rsidRPr="00844F50">
        <w:rPr>
          <w:b/>
          <w:bCs/>
          <w:sz w:val="32"/>
          <w:szCs w:val="32"/>
          <w:rtl/>
        </w:rPr>
        <w:t>لما كان من المقرر أن لمحكمة الموضوع سلطة تحصيل وفهم الواقع في الدعوى وتقدير الأدلة،</w:t>
      </w:r>
    </w:p>
    <w:p w:rsidR="00844F50" w:rsidRPr="00844F50" w:rsidRDefault="00844F50" w:rsidP="00844F50">
      <w:pPr>
        <w:rPr>
          <w:sz w:val="32"/>
          <w:szCs w:val="32"/>
        </w:rPr>
      </w:pPr>
      <w:bookmarkStart w:id="10" w:name="Anchor73"/>
      <w:bookmarkStart w:id="11" w:name="TM2014_993_2"/>
      <w:bookmarkEnd w:id="10"/>
      <w:bookmarkEnd w:id="11"/>
      <w:r w:rsidRPr="00844F50">
        <w:rPr>
          <w:b/>
          <w:bCs/>
          <w:sz w:val="32"/>
          <w:szCs w:val="32"/>
          <w:rtl/>
        </w:rPr>
        <w:t>وأن تأمين رب العمل ضد إصابات عماله هو نوع من التأمين من المسئولية وهو تأمين تسوده الصفة التعويضية إذ يهدف إلى تأمين المعوض له من الرجوع عليه بالمسئولية ويتحدد فيه ضمان المؤمن بما ينعقد الإتفاق عليه بوثيقة التأمين فإن للمضرور أو المؤمن له بعد أن يستوفي التعويض المستحق من المؤمن أن يحيل إليه حقه في التعويض قبل الغير المسئول</w:t>
      </w:r>
      <w:r w:rsidRPr="00844F50">
        <w:rPr>
          <w:b/>
          <w:bCs/>
          <w:sz w:val="32"/>
          <w:szCs w:val="32"/>
        </w:rPr>
        <w:t xml:space="preserve">. </w:t>
      </w:r>
      <w:r w:rsidRPr="00844F50">
        <w:rPr>
          <w:sz w:val="32"/>
          <w:szCs w:val="32"/>
          <w:rtl/>
        </w:rPr>
        <w:t xml:space="preserve">لما كان ذلك، </w:t>
      </w:r>
      <w:bookmarkStart w:id="12" w:name="TM2014_993_3"/>
      <w:bookmarkEnd w:id="12"/>
      <w:r w:rsidRPr="00844F50">
        <w:rPr>
          <w:b/>
          <w:bCs/>
          <w:sz w:val="32"/>
          <w:szCs w:val="32"/>
          <w:rtl/>
        </w:rPr>
        <w:t xml:space="preserve">وكان الحكم المطعون فيه قد استخلص من أوراق الدعوى وما بها من مستندات أن ورثة المتوفي استوفوا التعويض المستحق لهم من الشركة المطعون ضدها باعتبارها مؤمناً لديها عن إصابات العمل وأحالوا لها حقوقهم بموجب حوالة الحق المؤرخة 2012/2/29 المقدمة في الدعوى والصادرة من وكيل الورثة لصالح الشركة المطعون ضدها والتي بموجبها أحالوا حقهم في مطالبة المسئول عن الضرر بمبلغ التعويض إلى الشركة الأخيرة ومن ثم فإنه بوفاء تلك الشركة بإلتزامها يحق لها الرجوع على الغير المسئول وهي الشركة الطاعنة بإعتبارها مؤمناً لديها على السيارة أداة </w:t>
      </w:r>
      <w:r w:rsidRPr="00844F50">
        <w:rPr>
          <w:b/>
          <w:bCs/>
          <w:sz w:val="32"/>
          <w:szCs w:val="32"/>
          <w:rtl/>
        </w:rPr>
        <w:lastRenderedPageBreak/>
        <w:t>الحادث والتي لا يلزم لتحقق مسئوليتها سوى أن تكون السيارة مؤمناً لديها وأن يثبت مسئولية قائدها عن العمل غير المشروع وسند رجوع الشركة المطعون ضدها هو حوالة الحق الصادرة إليها من المضرور . ورتب الحكم على ذلك قضائه بإلزام الطاعنة بالمبلغ المقضي به</w:t>
      </w:r>
      <w:r w:rsidRPr="00844F50">
        <w:rPr>
          <w:b/>
          <w:bCs/>
          <w:sz w:val="32"/>
          <w:szCs w:val="32"/>
        </w:rPr>
        <w:t>.</w:t>
      </w:r>
      <w:r w:rsidRPr="00844F50">
        <w:rPr>
          <w:sz w:val="32"/>
          <w:szCs w:val="32"/>
        </w:rPr>
        <w:t xml:space="preserve"> </w:t>
      </w:r>
      <w:r w:rsidRPr="00844F50">
        <w:rPr>
          <w:sz w:val="32"/>
          <w:szCs w:val="32"/>
          <w:rtl/>
        </w:rPr>
        <w:t>وكان ما خلص إليه الحكم سائغاً وله أصله الثابت بالأوراق وكاف لحمل قضائه ، فإن ما تنعاه الطاعنة بسببي الطعن والذي يدور حول استخلاص المحكمة لواقع الدعوى وتقدير الأدلة لا يعدو أن يكون جدلاً موضوعياً في سلطة محكمة الموضوع التقديرية تنحسر عنه رقابة محكمة التمييز ويضحى الطعن غير مقبول عملاً بالمادتين 152، 154/5 مرافعات</w:t>
      </w:r>
      <w:r w:rsidRPr="00844F50">
        <w:rPr>
          <w:sz w:val="32"/>
          <w:szCs w:val="32"/>
        </w:rPr>
        <w:t>.</w:t>
      </w:r>
    </w:p>
    <w:p w:rsidR="00844F50" w:rsidRPr="00844F50" w:rsidRDefault="00844F50" w:rsidP="00844F50">
      <w:pPr>
        <w:rPr>
          <w:sz w:val="32"/>
          <w:szCs w:val="32"/>
        </w:rPr>
      </w:pPr>
      <w:bookmarkStart w:id="13" w:name="Anchor208"/>
      <w:bookmarkEnd w:id="13"/>
      <w:r w:rsidRPr="00844F50">
        <w:rPr>
          <w:sz w:val="32"/>
          <w:szCs w:val="32"/>
          <w:rtl/>
        </w:rPr>
        <w:t>لذلك</w:t>
      </w:r>
    </w:p>
    <w:p w:rsidR="00844F50" w:rsidRPr="00844F50" w:rsidRDefault="00844F50" w:rsidP="00844F50">
      <w:pPr>
        <w:rPr>
          <w:sz w:val="32"/>
          <w:szCs w:val="32"/>
        </w:rPr>
      </w:pPr>
      <w:bookmarkStart w:id="14" w:name="Anchor209"/>
      <w:bookmarkEnd w:id="14"/>
      <w:r w:rsidRPr="00844F50">
        <w:rPr>
          <w:sz w:val="32"/>
          <w:szCs w:val="32"/>
          <w:rtl/>
        </w:rPr>
        <w:t xml:space="preserve">قررت المحكمة - في غرفة المشورة </w:t>
      </w:r>
      <w:r w:rsidRPr="00844F50">
        <w:rPr>
          <w:sz w:val="32"/>
          <w:szCs w:val="32"/>
        </w:rPr>
        <w:t xml:space="preserve">– </w:t>
      </w:r>
      <w:r w:rsidRPr="00844F50">
        <w:rPr>
          <w:sz w:val="32"/>
          <w:szCs w:val="32"/>
          <w:rtl/>
        </w:rPr>
        <w:t>عدم قبول الطعن وألزمت الطاعنة المصروفات وعشرين ديناراً مقابل أتعاب المحاماة ، مع مصادرة الكفالة</w:t>
      </w:r>
      <w:r w:rsidRPr="00844F50">
        <w:rPr>
          <w:sz w:val="32"/>
          <w:szCs w:val="32"/>
        </w:rPr>
        <w:t>.</w:t>
      </w:r>
    </w:p>
    <w:p w:rsidR="00844F50" w:rsidRPr="00844F50" w:rsidRDefault="00844F50" w:rsidP="00844F50">
      <w:pPr>
        <w:rPr>
          <w:sz w:val="32"/>
          <w:szCs w:val="32"/>
        </w:rPr>
      </w:pPr>
    </w:p>
    <w:p w:rsidR="00844F50" w:rsidRPr="00844F50" w:rsidRDefault="00844F50" w:rsidP="00844F50">
      <w:pPr>
        <w:rPr>
          <w:sz w:val="32"/>
          <w:szCs w:val="32"/>
        </w:rPr>
      </w:pPr>
      <w:bookmarkStart w:id="15" w:name="Anchor223"/>
      <w:bookmarkEnd w:id="15"/>
      <w:r w:rsidRPr="00844F50">
        <w:rPr>
          <w:sz w:val="32"/>
          <w:szCs w:val="32"/>
        </w:rPr>
        <w:t>* * *</w:t>
      </w:r>
    </w:p>
    <w:p w:rsidR="008C2BA0" w:rsidRPr="00844F50" w:rsidRDefault="008C2BA0">
      <w:pPr>
        <w:rPr>
          <w:sz w:val="32"/>
          <w:szCs w:val="32"/>
        </w:rPr>
      </w:pPr>
    </w:p>
    <w:sectPr w:rsidR="008C2BA0" w:rsidRPr="00844F5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5B4"/>
    <w:rsid w:val="0003272B"/>
    <w:rsid w:val="00844F50"/>
    <w:rsid w:val="008C2BA0"/>
    <w:rsid w:val="00E245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F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F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63511">
      <w:bodyDiv w:val="1"/>
      <w:marLeft w:val="0"/>
      <w:marRight w:val="0"/>
      <w:marTop w:val="0"/>
      <w:marBottom w:val="0"/>
      <w:divBdr>
        <w:top w:val="none" w:sz="0" w:space="0" w:color="auto"/>
        <w:left w:val="none" w:sz="0" w:space="0" w:color="auto"/>
        <w:bottom w:val="none" w:sz="0" w:space="0" w:color="auto"/>
        <w:right w:val="none" w:sz="0" w:space="0" w:color="auto"/>
      </w:divBdr>
      <w:divsChild>
        <w:div w:id="2084791755">
          <w:marLeft w:val="0"/>
          <w:marRight w:val="0"/>
          <w:marTop w:val="0"/>
          <w:marBottom w:val="0"/>
          <w:divBdr>
            <w:top w:val="none" w:sz="0" w:space="0" w:color="auto"/>
            <w:left w:val="none" w:sz="0" w:space="0" w:color="auto"/>
            <w:bottom w:val="none" w:sz="0" w:space="0" w:color="auto"/>
            <w:right w:val="none" w:sz="0" w:space="0" w:color="auto"/>
          </w:divBdr>
        </w:div>
        <w:div w:id="1308509789">
          <w:marLeft w:val="0"/>
          <w:marRight w:val="0"/>
          <w:marTop w:val="0"/>
          <w:marBottom w:val="0"/>
          <w:divBdr>
            <w:top w:val="none" w:sz="0" w:space="0" w:color="auto"/>
            <w:left w:val="none" w:sz="0" w:space="0" w:color="auto"/>
            <w:bottom w:val="none" w:sz="0" w:space="0" w:color="auto"/>
            <w:right w:val="none" w:sz="0" w:space="0" w:color="auto"/>
          </w:divBdr>
        </w:div>
        <w:div w:id="2011827132">
          <w:marLeft w:val="0"/>
          <w:marRight w:val="0"/>
          <w:marTop w:val="0"/>
          <w:marBottom w:val="0"/>
          <w:divBdr>
            <w:top w:val="none" w:sz="0" w:space="0" w:color="auto"/>
            <w:left w:val="none" w:sz="0" w:space="0" w:color="auto"/>
            <w:bottom w:val="none" w:sz="0" w:space="0" w:color="auto"/>
            <w:right w:val="none" w:sz="0" w:space="0" w:color="auto"/>
          </w:divBdr>
        </w:div>
        <w:div w:id="1210848754">
          <w:marLeft w:val="0"/>
          <w:marRight w:val="0"/>
          <w:marTop w:val="0"/>
          <w:marBottom w:val="0"/>
          <w:divBdr>
            <w:top w:val="none" w:sz="0" w:space="0" w:color="auto"/>
            <w:left w:val="none" w:sz="0" w:space="0" w:color="auto"/>
            <w:bottom w:val="none" w:sz="0" w:space="0" w:color="auto"/>
            <w:right w:val="none" w:sz="0" w:space="0" w:color="auto"/>
          </w:divBdr>
        </w:div>
        <w:div w:id="1775319116">
          <w:marLeft w:val="0"/>
          <w:marRight w:val="0"/>
          <w:marTop w:val="0"/>
          <w:marBottom w:val="0"/>
          <w:divBdr>
            <w:top w:val="none" w:sz="0" w:space="0" w:color="auto"/>
            <w:left w:val="none" w:sz="0" w:space="0" w:color="auto"/>
            <w:bottom w:val="none" w:sz="0" w:space="0" w:color="auto"/>
            <w:right w:val="none" w:sz="0" w:space="0" w:color="auto"/>
          </w:divBdr>
        </w:div>
        <w:div w:id="1152871596">
          <w:marLeft w:val="0"/>
          <w:marRight w:val="0"/>
          <w:marTop w:val="0"/>
          <w:marBottom w:val="0"/>
          <w:divBdr>
            <w:top w:val="none" w:sz="0" w:space="0" w:color="auto"/>
            <w:left w:val="none" w:sz="0" w:space="0" w:color="auto"/>
            <w:bottom w:val="none" w:sz="0" w:space="0" w:color="auto"/>
            <w:right w:val="none" w:sz="0" w:space="0" w:color="auto"/>
          </w:divBdr>
        </w:div>
        <w:div w:id="897326285">
          <w:marLeft w:val="0"/>
          <w:marRight w:val="0"/>
          <w:marTop w:val="0"/>
          <w:marBottom w:val="0"/>
          <w:divBdr>
            <w:top w:val="none" w:sz="0" w:space="0" w:color="auto"/>
            <w:left w:val="none" w:sz="0" w:space="0" w:color="auto"/>
            <w:bottom w:val="none" w:sz="0" w:space="0" w:color="auto"/>
            <w:right w:val="none" w:sz="0" w:space="0" w:color="auto"/>
          </w:divBdr>
        </w:div>
        <w:div w:id="1701591224">
          <w:marLeft w:val="0"/>
          <w:marRight w:val="0"/>
          <w:marTop w:val="0"/>
          <w:marBottom w:val="0"/>
          <w:divBdr>
            <w:top w:val="none" w:sz="0" w:space="0" w:color="auto"/>
            <w:left w:val="none" w:sz="0" w:space="0" w:color="auto"/>
            <w:bottom w:val="none" w:sz="0" w:space="0" w:color="auto"/>
            <w:right w:val="none" w:sz="0" w:space="0" w:color="auto"/>
          </w:divBdr>
        </w:div>
        <w:div w:id="2133472986">
          <w:marLeft w:val="0"/>
          <w:marRight w:val="0"/>
          <w:marTop w:val="0"/>
          <w:marBottom w:val="0"/>
          <w:divBdr>
            <w:top w:val="none" w:sz="0" w:space="0" w:color="auto"/>
            <w:left w:val="none" w:sz="0" w:space="0" w:color="auto"/>
            <w:bottom w:val="none" w:sz="0" w:space="0" w:color="auto"/>
            <w:right w:val="none" w:sz="0" w:space="0" w:color="auto"/>
          </w:divBdr>
        </w:div>
        <w:div w:id="1732532039">
          <w:marLeft w:val="0"/>
          <w:marRight w:val="0"/>
          <w:marTop w:val="0"/>
          <w:marBottom w:val="0"/>
          <w:divBdr>
            <w:top w:val="none" w:sz="0" w:space="0" w:color="auto"/>
            <w:left w:val="none" w:sz="0" w:space="0" w:color="auto"/>
            <w:bottom w:val="none" w:sz="0" w:space="0" w:color="auto"/>
            <w:right w:val="none" w:sz="0" w:space="0" w:color="auto"/>
          </w:divBdr>
        </w:div>
        <w:div w:id="1639339926">
          <w:marLeft w:val="0"/>
          <w:marRight w:val="0"/>
          <w:marTop w:val="0"/>
          <w:marBottom w:val="0"/>
          <w:divBdr>
            <w:top w:val="none" w:sz="0" w:space="0" w:color="auto"/>
            <w:left w:val="none" w:sz="0" w:space="0" w:color="auto"/>
            <w:bottom w:val="none" w:sz="0" w:space="0" w:color="auto"/>
            <w:right w:val="none" w:sz="0" w:space="0" w:color="auto"/>
          </w:divBdr>
        </w:div>
        <w:div w:id="733938089">
          <w:marLeft w:val="0"/>
          <w:marRight w:val="0"/>
          <w:marTop w:val="0"/>
          <w:marBottom w:val="0"/>
          <w:divBdr>
            <w:top w:val="none" w:sz="0" w:space="0" w:color="auto"/>
            <w:left w:val="none" w:sz="0" w:space="0" w:color="auto"/>
            <w:bottom w:val="none" w:sz="0" w:space="0" w:color="auto"/>
            <w:right w:val="none" w:sz="0" w:space="0" w:color="auto"/>
          </w:divBdr>
        </w:div>
      </w:divsChild>
    </w:div>
    <w:div w:id="1854494365">
      <w:bodyDiv w:val="1"/>
      <w:marLeft w:val="0"/>
      <w:marRight w:val="0"/>
      <w:marTop w:val="0"/>
      <w:marBottom w:val="0"/>
      <w:divBdr>
        <w:top w:val="none" w:sz="0" w:space="0" w:color="auto"/>
        <w:left w:val="none" w:sz="0" w:space="0" w:color="auto"/>
        <w:bottom w:val="none" w:sz="0" w:space="0" w:color="auto"/>
        <w:right w:val="none" w:sz="0" w:space="0" w:color="auto"/>
      </w:divBdr>
      <w:divsChild>
        <w:div w:id="896861839">
          <w:marLeft w:val="0"/>
          <w:marRight w:val="0"/>
          <w:marTop w:val="0"/>
          <w:marBottom w:val="0"/>
          <w:divBdr>
            <w:top w:val="none" w:sz="0" w:space="0" w:color="auto"/>
            <w:left w:val="none" w:sz="0" w:space="0" w:color="auto"/>
            <w:bottom w:val="none" w:sz="0" w:space="0" w:color="auto"/>
            <w:right w:val="none" w:sz="0" w:space="0" w:color="auto"/>
          </w:divBdr>
        </w:div>
        <w:div w:id="476537446">
          <w:marLeft w:val="0"/>
          <w:marRight w:val="0"/>
          <w:marTop w:val="0"/>
          <w:marBottom w:val="0"/>
          <w:divBdr>
            <w:top w:val="none" w:sz="0" w:space="0" w:color="auto"/>
            <w:left w:val="none" w:sz="0" w:space="0" w:color="auto"/>
            <w:bottom w:val="none" w:sz="0" w:space="0" w:color="auto"/>
            <w:right w:val="none" w:sz="0" w:space="0" w:color="auto"/>
          </w:divBdr>
        </w:div>
        <w:div w:id="89548555">
          <w:marLeft w:val="0"/>
          <w:marRight w:val="0"/>
          <w:marTop w:val="0"/>
          <w:marBottom w:val="0"/>
          <w:divBdr>
            <w:top w:val="none" w:sz="0" w:space="0" w:color="auto"/>
            <w:left w:val="none" w:sz="0" w:space="0" w:color="auto"/>
            <w:bottom w:val="none" w:sz="0" w:space="0" w:color="auto"/>
            <w:right w:val="none" w:sz="0" w:space="0" w:color="auto"/>
          </w:divBdr>
        </w:div>
        <w:div w:id="1206793282">
          <w:marLeft w:val="0"/>
          <w:marRight w:val="0"/>
          <w:marTop w:val="0"/>
          <w:marBottom w:val="0"/>
          <w:divBdr>
            <w:top w:val="none" w:sz="0" w:space="0" w:color="auto"/>
            <w:left w:val="none" w:sz="0" w:space="0" w:color="auto"/>
            <w:bottom w:val="none" w:sz="0" w:space="0" w:color="auto"/>
            <w:right w:val="none" w:sz="0" w:space="0" w:color="auto"/>
          </w:divBdr>
        </w:div>
        <w:div w:id="1403987361">
          <w:marLeft w:val="0"/>
          <w:marRight w:val="0"/>
          <w:marTop w:val="0"/>
          <w:marBottom w:val="0"/>
          <w:divBdr>
            <w:top w:val="none" w:sz="0" w:space="0" w:color="auto"/>
            <w:left w:val="none" w:sz="0" w:space="0" w:color="auto"/>
            <w:bottom w:val="none" w:sz="0" w:space="0" w:color="auto"/>
            <w:right w:val="none" w:sz="0" w:space="0" w:color="auto"/>
          </w:divBdr>
        </w:div>
        <w:div w:id="703872957">
          <w:marLeft w:val="0"/>
          <w:marRight w:val="0"/>
          <w:marTop w:val="0"/>
          <w:marBottom w:val="0"/>
          <w:divBdr>
            <w:top w:val="none" w:sz="0" w:space="0" w:color="auto"/>
            <w:left w:val="none" w:sz="0" w:space="0" w:color="auto"/>
            <w:bottom w:val="none" w:sz="0" w:space="0" w:color="auto"/>
            <w:right w:val="none" w:sz="0" w:space="0" w:color="auto"/>
          </w:divBdr>
        </w:div>
        <w:div w:id="1582595443">
          <w:marLeft w:val="0"/>
          <w:marRight w:val="0"/>
          <w:marTop w:val="0"/>
          <w:marBottom w:val="0"/>
          <w:divBdr>
            <w:top w:val="none" w:sz="0" w:space="0" w:color="auto"/>
            <w:left w:val="none" w:sz="0" w:space="0" w:color="auto"/>
            <w:bottom w:val="none" w:sz="0" w:space="0" w:color="auto"/>
            <w:right w:val="none" w:sz="0" w:space="0" w:color="auto"/>
          </w:divBdr>
        </w:div>
        <w:div w:id="1127972480">
          <w:marLeft w:val="0"/>
          <w:marRight w:val="0"/>
          <w:marTop w:val="0"/>
          <w:marBottom w:val="0"/>
          <w:divBdr>
            <w:top w:val="none" w:sz="0" w:space="0" w:color="auto"/>
            <w:left w:val="none" w:sz="0" w:space="0" w:color="auto"/>
            <w:bottom w:val="none" w:sz="0" w:space="0" w:color="auto"/>
            <w:right w:val="none" w:sz="0" w:space="0" w:color="auto"/>
          </w:divBdr>
        </w:div>
        <w:div w:id="670179156">
          <w:marLeft w:val="0"/>
          <w:marRight w:val="0"/>
          <w:marTop w:val="0"/>
          <w:marBottom w:val="0"/>
          <w:divBdr>
            <w:top w:val="none" w:sz="0" w:space="0" w:color="auto"/>
            <w:left w:val="none" w:sz="0" w:space="0" w:color="auto"/>
            <w:bottom w:val="none" w:sz="0" w:space="0" w:color="auto"/>
            <w:right w:val="none" w:sz="0" w:space="0" w:color="auto"/>
          </w:divBdr>
        </w:div>
        <w:div w:id="1753508787">
          <w:marLeft w:val="0"/>
          <w:marRight w:val="0"/>
          <w:marTop w:val="0"/>
          <w:marBottom w:val="0"/>
          <w:divBdr>
            <w:top w:val="none" w:sz="0" w:space="0" w:color="auto"/>
            <w:left w:val="none" w:sz="0" w:space="0" w:color="auto"/>
            <w:bottom w:val="none" w:sz="0" w:space="0" w:color="auto"/>
            <w:right w:val="none" w:sz="0" w:space="0" w:color="auto"/>
          </w:divBdr>
        </w:div>
        <w:div w:id="1307708739">
          <w:marLeft w:val="0"/>
          <w:marRight w:val="0"/>
          <w:marTop w:val="0"/>
          <w:marBottom w:val="0"/>
          <w:divBdr>
            <w:top w:val="none" w:sz="0" w:space="0" w:color="auto"/>
            <w:left w:val="none" w:sz="0" w:space="0" w:color="auto"/>
            <w:bottom w:val="none" w:sz="0" w:space="0" w:color="auto"/>
            <w:right w:val="none" w:sz="0" w:space="0" w:color="auto"/>
          </w:divBdr>
        </w:div>
        <w:div w:id="120975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2020-04-26T11:25:00Z</dcterms:created>
  <dcterms:modified xsi:type="dcterms:W3CDTF">2020-04-26T11:25:00Z</dcterms:modified>
</cp:coreProperties>
</file>