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174" w:rsidRPr="008C6174" w:rsidRDefault="008C6174" w:rsidP="008C6174">
      <w:pPr>
        <w:jc w:val="center"/>
        <w:rPr>
          <w:sz w:val="32"/>
          <w:szCs w:val="32"/>
          <w:lang w:bidi="ar-EG"/>
        </w:rPr>
      </w:pPr>
      <w:bookmarkStart w:id="0" w:name="Anchor1"/>
      <w:bookmarkEnd w:id="0"/>
      <w:r w:rsidRPr="008C6174">
        <w:rPr>
          <w:sz w:val="32"/>
          <w:szCs w:val="32"/>
          <w:rtl/>
        </w:rPr>
        <w:t>الطعن ر</w:t>
      </w:r>
      <w:bookmarkStart w:id="1" w:name="_GoBack"/>
      <w:bookmarkEnd w:id="1"/>
      <w:r w:rsidRPr="008C6174">
        <w:rPr>
          <w:sz w:val="32"/>
          <w:szCs w:val="32"/>
          <w:rtl/>
        </w:rPr>
        <w:t xml:space="preserve">قم </w:t>
      </w:r>
      <w:r w:rsidRPr="008C6174">
        <w:rPr>
          <w:sz w:val="32"/>
          <w:szCs w:val="32"/>
          <w:lang w:bidi="ar-EG"/>
        </w:rPr>
        <w:t>1157</w:t>
      </w:r>
    </w:p>
    <w:p w:rsidR="008C6174" w:rsidRPr="008C6174" w:rsidRDefault="008C6174" w:rsidP="008C6174">
      <w:pPr>
        <w:rPr>
          <w:sz w:val="32"/>
          <w:szCs w:val="32"/>
          <w:lang w:bidi="ar-EG"/>
        </w:rPr>
      </w:pPr>
      <w:bookmarkStart w:id="2" w:name="Anchor6"/>
      <w:bookmarkEnd w:id="2"/>
      <w:r w:rsidRPr="008C6174">
        <w:rPr>
          <w:sz w:val="32"/>
          <w:szCs w:val="32"/>
          <w:rtl/>
        </w:rPr>
        <w:t>هيئة المحكمة</w:t>
      </w:r>
      <w:r w:rsidRPr="008C6174">
        <w:rPr>
          <w:sz w:val="32"/>
          <w:szCs w:val="32"/>
          <w:lang w:bidi="ar-EG"/>
        </w:rPr>
        <w:t xml:space="preserve">: </w:t>
      </w:r>
      <w:r w:rsidRPr="008C6174">
        <w:rPr>
          <w:sz w:val="32"/>
          <w:szCs w:val="32"/>
          <w:rtl/>
        </w:rPr>
        <w:t>برئاسة السيد المستشار يونس محمد الياسين وكيل المحكمة وعضوية السادة المستشارين عادل على البحوة ومحمد أحمد رشدي وإبراهيم الضبع وهشام فراويل</w:t>
      </w:r>
    </w:p>
    <w:bookmarkStart w:id="3" w:name="Anchor23"/>
    <w:bookmarkEnd w:id="3"/>
    <w:p w:rsidR="008C6174" w:rsidRPr="008C6174" w:rsidRDefault="008C6174" w:rsidP="008C6174">
      <w:pPr>
        <w:rPr>
          <w:sz w:val="32"/>
          <w:szCs w:val="32"/>
          <w:lang w:bidi="ar-EG"/>
        </w:rPr>
      </w:pPr>
      <w:r w:rsidRPr="008C6174">
        <w:rPr>
          <w:sz w:val="32"/>
          <w:szCs w:val="32"/>
          <w:lang w:bidi="ar-EG"/>
        </w:rPr>
        <w:fldChar w:fldCharType="begin"/>
      </w:r>
      <w:r w:rsidRPr="008C6174">
        <w:rPr>
          <w:sz w:val="32"/>
          <w:szCs w:val="32"/>
          <w:lang w:bidi="ar-EG"/>
        </w:rPr>
        <w:instrText xml:space="preserve"> HYPERLINK "http://www.law.gov.kw/KWT_CC-Ar/00_2014/00_%D8%A7%D9%84%D8%AF%D8%A7%D8%A6%D8%B1%D8%A9%20%D8%A7%D9%84%D8%AA%D8%AC%D8%A7%D8%B1%D9%8A%D8%A9/KWT-CC-Ar_2014-04-07_01157_Taan.html" \l "TM2014_1157_1" </w:instrText>
      </w:r>
      <w:r w:rsidRPr="008C6174">
        <w:rPr>
          <w:sz w:val="32"/>
          <w:szCs w:val="32"/>
          <w:lang w:bidi="ar-EG"/>
        </w:rPr>
        <w:fldChar w:fldCharType="separate"/>
      </w:r>
      <w:r w:rsidRPr="008C6174">
        <w:rPr>
          <w:rStyle w:val="Hyperlink"/>
          <w:sz w:val="32"/>
          <w:szCs w:val="32"/>
          <w:lang w:bidi="ar-EG"/>
        </w:rPr>
        <w:t xml:space="preserve">1- </w:t>
      </w:r>
      <w:r w:rsidRPr="008C6174">
        <w:rPr>
          <w:rStyle w:val="Hyperlink"/>
          <w:sz w:val="32"/>
          <w:szCs w:val="32"/>
          <w:rtl/>
        </w:rPr>
        <w:t>ان لمحكمة الموضوع سلطة تحصيل وفهم الواقع في الدعوى وتقدير الادلة والمستندات وتفسير العقود والمحررات</w:t>
      </w:r>
      <w:r w:rsidRPr="008C6174">
        <w:rPr>
          <w:rStyle w:val="Hyperlink"/>
          <w:sz w:val="32"/>
          <w:szCs w:val="32"/>
          <w:lang w:bidi="ar-EG"/>
        </w:rPr>
        <w:t>.</w:t>
      </w:r>
      <w:r w:rsidRPr="008C6174">
        <w:rPr>
          <w:sz w:val="32"/>
          <w:szCs w:val="32"/>
          <w:lang w:bidi="ar-EG"/>
        </w:rPr>
        <w:fldChar w:fldCharType="end"/>
      </w:r>
    </w:p>
    <w:bookmarkStart w:id="4" w:name="Anchor36"/>
    <w:bookmarkEnd w:id="4"/>
    <w:p w:rsidR="008C6174" w:rsidRPr="008C6174" w:rsidRDefault="008C6174" w:rsidP="008C6174">
      <w:pPr>
        <w:rPr>
          <w:sz w:val="32"/>
          <w:szCs w:val="32"/>
          <w:lang w:bidi="ar-EG"/>
        </w:rPr>
      </w:pPr>
      <w:r w:rsidRPr="008C6174">
        <w:rPr>
          <w:sz w:val="32"/>
          <w:szCs w:val="32"/>
          <w:lang w:bidi="ar-EG"/>
        </w:rPr>
        <w:fldChar w:fldCharType="begin"/>
      </w:r>
      <w:r w:rsidRPr="008C6174">
        <w:rPr>
          <w:sz w:val="32"/>
          <w:szCs w:val="32"/>
          <w:lang w:bidi="ar-EG"/>
        </w:rPr>
        <w:instrText xml:space="preserve"> HYPERLINK "http://www.law.gov.kw/KWT_CC-Ar/00_2014/00_%D8%A7%D9%84%D8%AF%D8%A7%D8%A6%D8%B1%D8%A9%20%D8%A7%D9%84%D8%AA%D8%AC%D8%A7%D8%B1%D9%8A%D8%A9/KWT-CC-Ar_2014-04-07_01157_Taan.html" \l "TM2014_1157_2" </w:instrText>
      </w:r>
      <w:r w:rsidRPr="008C6174">
        <w:rPr>
          <w:sz w:val="32"/>
          <w:szCs w:val="32"/>
          <w:lang w:bidi="ar-EG"/>
        </w:rPr>
        <w:fldChar w:fldCharType="separate"/>
      </w:r>
      <w:r w:rsidRPr="008C6174">
        <w:rPr>
          <w:rStyle w:val="Hyperlink"/>
          <w:sz w:val="32"/>
          <w:szCs w:val="32"/>
          <w:lang w:bidi="ar-EG"/>
        </w:rPr>
        <w:t xml:space="preserve">2- </w:t>
      </w:r>
      <w:r w:rsidRPr="008C6174">
        <w:rPr>
          <w:rStyle w:val="Hyperlink"/>
          <w:sz w:val="32"/>
          <w:szCs w:val="32"/>
          <w:rtl/>
        </w:rPr>
        <w:t>ان للمحكمة الاخذ بتقرير الخبير المنتدب متى اطمأنت لسلامة الاسس التي بني عليها</w:t>
      </w:r>
      <w:r w:rsidRPr="008C6174">
        <w:rPr>
          <w:rStyle w:val="Hyperlink"/>
          <w:sz w:val="32"/>
          <w:szCs w:val="32"/>
          <w:lang w:bidi="ar-EG"/>
        </w:rPr>
        <w:t>.</w:t>
      </w:r>
      <w:r w:rsidRPr="008C6174">
        <w:rPr>
          <w:sz w:val="32"/>
          <w:szCs w:val="32"/>
          <w:lang w:bidi="ar-EG"/>
        </w:rPr>
        <w:fldChar w:fldCharType="end"/>
      </w:r>
    </w:p>
    <w:bookmarkStart w:id="5" w:name="Anchor46"/>
    <w:bookmarkEnd w:id="5"/>
    <w:p w:rsidR="008C6174" w:rsidRPr="008C6174" w:rsidRDefault="008C6174" w:rsidP="008C6174">
      <w:pPr>
        <w:rPr>
          <w:sz w:val="32"/>
          <w:szCs w:val="32"/>
          <w:lang w:bidi="ar-EG"/>
        </w:rPr>
      </w:pPr>
      <w:r w:rsidRPr="008C6174">
        <w:rPr>
          <w:sz w:val="32"/>
          <w:szCs w:val="32"/>
          <w:lang w:bidi="ar-EG"/>
        </w:rPr>
        <w:fldChar w:fldCharType="begin"/>
      </w:r>
      <w:r w:rsidRPr="008C6174">
        <w:rPr>
          <w:sz w:val="32"/>
          <w:szCs w:val="32"/>
          <w:lang w:bidi="ar-EG"/>
        </w:rPr>
        <w:instrText xml:space="preserve"> HYPERLINK "http://www.law.gov.kw/KWT_CC-Ar/00_2014/00_%D8%A7%D9%84%D8%AF%D8%A7%D8%A6%D8%B1%D8%A9%20%D8%A7%D9%84%D8%AA%D8%AC%D8%A7%D8%B1%D9%8A%D8%A9/KWT-CC-Ar_2014-04-07_01157_Taan.html" \l "TM2014_1157_3" </w:instrText>
      </w:r>
      <w:r w:rsidRPr="008C6174">
        <w:rPr>
          <w:sz w:val="32"/>
          <w:szCs w:val="32"/>
          <w:lang w:bidi="ar-EG"/>
        </w:rPr>
        <w:fldChar w:fldCharType="separate"/>
      </w:r>
      <w:r w:rsidRPr="008C6174">
        <w:rPr>
          <w:rStyle w:val="Hyperlink"/>
          <w:sz w:val="32"/>
          <w:szCs w:val="32"/>
          <w:lang w:bidi="ar-EG"/>
        </w:rPr>
        <w:t xml:space="preserve">3- </w:t>
      </w:r>
      <w:r w:rsidRPr="008C6174">
        <w:rPr>
          <w:rStyle w:val="Hyperlink"/>
          <w:sz w:val="32"/>
          <w:szCs w:val="32"/>
          <w:rtl/>
        </w:rPr>
        <w:t>ان المحكمة لا تلتزم بالرد استقلالا على المطاعن الموجهة الى تقرير الخبير او ندب خبير آخر</w:t>
      </w:r>
      <w:r w:rsidRPr="008C6174">
        <w:rPr>
          <w:rStyle w:val="Hyperlink"/>
          <w:sz w:val="32"/>
          <w:szCs w:val="32"/>
          <w:lang w:bidi="ar-EG"/>
        </w:rPr>
        <w:t>.</w:t>
      </w:r>
      <w:r w:rsidRPr="008C6174">
        <w:rPr>
          <w:sz w:val="32"/>
          <w:szCs w:val="32"/>
          <w:lang w:bidi="ar-EG"/>
        </w:rPr>
        <w:fldChar w:fldCharType="end"/>
      </w:r>
    </w:p>
    <w:bookmarkStart w:id="6" w:name="Anchor56"/>
    <w:bookmarkEnd w:id="6"/>
    <w:p w:rsidR="008C6174" w:rsidRPr="008C6174" w:rsidRDefault="008C6174" w:rsidP="008C6174">
      <w:pPr>
        <w:rPr>
          <w:sz w:val="32"/>
          <w:szCs w:val="32"/>
          <w:lang w:bidi="ar-EG"/>
        </w:rPr>
      </w:pPr>
      <w:r w:rsidRPr="008C6174">
        <w:rPr>
          <w:sz w:val="32"/>
          <w:szCs w:val="32"/>
          <w:lang w:bidi="ar-EG"/>
        </w:rPr>
        <w:fldChar w:fldCharType="begin"/>
      </w:r>
      <w:r w:rsidRPr="008C6174">
        <w:rPr>
          <w:sz w:val="32"/>
          <w:szCs w:val="32"/>
          <w:lang w:bidi="ar-EG"/>
        </w:rPr>
        <w:instrText xml:space="preserve"> HYPERLINK "http://www.law.gov.kw/KWT_CC-Ar/00_2014/00_%D8%A7%D9%84%D8%AF%D8%A7%D8%A6%D8%B1%D8%A9%20%D8%A7%D9%84%D8%AA%D8%AC%D8%A7%D8%B1%D9%8A%D8%A9/KWT-CC-Ar_2014-04-07_01157_Taan.html" \l "TM2014_1157_4" </w:instrText>
      </w:r>
      <w:r w:rsidRPr="008C6174">
        <w:rPr>
          <w:sz w:val="32"/>
          <w:szCs w:val="32"/>
          <w:lang w:bidi="ar-EG"/>
        </w:rPr>
        <w:fldChar w:fldCharType="separate"/>
      </w:r>
      <w:r w:rsidRPr="008C6174">
        <w:rPr>
          <w:rStyle w:val="Hyperlink"/>
          <w:sz w:val="32"/>
          <w:szCs w:val="32"/>
          <w:lang w:bidi="ar-EG"/>
        </w:rPr>
        <w:t xml:space="preserve">4- </w:t>
      </w:r>
      <w:r w:rsidRPr="008C6174">
        <w:rPr>
          <w:rStyle w:val="Hyperlink"/>
          <w:sz w:val="32"/>
          <w:szCs w:val="32"/>
          <w:rtl/>
        </w:rPr>
        <w:t>ان الحكم المطعون فيه القاضي برفض دعوى الطاعن على ما خلص اليه من صحة امر الدفع الدائم المنسوب صدوره الى الطاعن والذي بموجبه امر البنك المطعون ضده بتحويل مبلغ على اقساط شهرية من حسابه لدى البنك الاخير الى حسابه لدى البنك الاهلي المتحد بمملكة البحرين والذي أقر فيه ان الامر غير قابل للنقض او الالغاء حتى تقديم براءة ذمة من البنك المستفيد سائغا وله اصله الثابت بالاوراق</w:t>
      </w:r>
      <w:r w:rsidRPr="008C6174">
        <w:rPr>
          <w:rStyle w:val="Hyperlink"/>
          <w:sz w:val="32"/>
          <w:szCs w:val="32"/>
          <w:lang w:bidi="ar-EG"/>
        </w:rPr>
        <w:t>.</w:t>
      </w:r>
      <w:r w:rsidRPr="008C6174">
        <w:rPr>
          <w:sz w:val="32"/>
          <w:szCs w:val="32"/>
          <w:lang w:bidi="ar-EG"/>
        </w:rPr>
        <w:fldChar w:fldCharType="end"/>
      </w:r>
      <w:r w:rsidRPr="008C6174">
        <w:rPr>
          <w:sz w:val="32"/>
          <w:szCs w:val="32"/>
          <w:lang w:bidi="ar-EG"/>
        </w:rPr>
        <w:br/>
      </w:r>
      <w:r w:rsidRPr="008C6174">
        <w:rPr>
          <w:sz w:val="32"/>
          <w:szCs w:val="32"/>
          <w:lang w:bidi="ar-EG"/>
        </w:rPr>
        <w:br/>
      </w:r>
      <w:r w:rsidRPr="008C6174">
        <w:rPr>
          <w:sz w:val="32"/>
          <w:szCs w:val="32"/>
          <w:u w:val="single"/>
          <w:rtl/>
        </w:rPr>
        <w:t>ملاحظة</w:t>
      </w:r>
      <w:r w:rsidRPr="008C6174">
        <w:rPr>
          <w:sz w:val="32"/>
          <w:szCs w:val="32"/>
          <w:u w:val="single"/>
          <w:lang w:bidi="ar-EG"/>
        </w:rPr>
        <w:t xml:space="preserve"> :</w:t>
      </w:r>
      <w:r w:rsidRPr="008C6174">
        <w:rPr>
          <w:sz w:val="32"/>
          <w:szCs w:val="32"/>
          <w:lang w:bidi="ar-EG"/>
        </w:rPr>
        <w:br/>
      </w:r>
      <w:r w:rsidRPr="008C6174">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8C6174" w:rsidRPr="008C6174" w:rsidRDefault="008C6174" w:rsidP="008C6174">
      <w:pPr>
        <w:rPr>
          <w:sz w:val="32"/>
          <w:szCs w:val="32"/>
          <w:lang w:bidi="ar-EG"/>
        </w:rPr>
      </w:pPr>
      <w:bookmarkStart w:id="7" w:name="Anchor92"/>
      <w:bookmarkEnd w:id="7"/>
      <w:r w:rsidRPr="008C6174">
        <w:rPr>
          <w:b/>
          <w:bCs/>
          <w:sz w:val="32"/>
          <w:szCs w:val="32"/>
          <w:rtl/>
        </w:rPr>
        <w:t>المحكمــــة</w:t>
      </w:r>
    </w:p>
    <w:p w:rsidR="008C6174" w:rsidRPr="008C6174" w:rsidRDefault="008C6174" w:rsidP="008C6174">
      <w:pPr>
        <w:rPr>
          <w:sz w:val="32"/>
          <w:szCs w:val="32"/>
          <w:lang w:bidi="ar-EG"/>
        </w:rPr>
      </w:pPr>
      <w:bookmarkStart w:id="8" w:name="Anchor93"/>
      <w:bookmarkEnd w:id="8"/>
      <w:r w:rsidRPr="008C6174">
        <w:rPr>
          <w:sz w:val="32"/>
          <w:szCs w:val="32"/>
          <w:rtl/>
        </w:rPr>
        <w:t>بعد الاطلاع على الأوراق، والمداولة</w:t>
      </w:r>
      <w:r w:rsidRPr="008C6174">
        <w:rPr>
          <w:b/>
          <w:bCs/>
          <w:sz w:val="32"/>
          <w:szCs w:val="32"/>
          <w:lang w:bidi="ar-EG"/>
        </w:rPr>
        <w:t>.</w:t>
      </w:r>
    </w:p>
    <w:p w:rsidR="008C6174" w:rsidRPr="008C6174" w:rsidRDefault="008C6174" w:rsidP="008C6174">
      <w:pPr>
        <w:rPr>
          <w:sz w:val="32"/>
          <w:szCs w:val="32"/>
          <w:lang w:bidi="ar-EG"/>
        </w:rPr>
      </w:pPr>
      <w:bookmarkStart w:id="9" w:name="Anchor97"/>
      <w:bookmarkStart w:id="10" w:name="TM2014_1157_1"/>
      <w:bookmarkEnd w:id="9"/>
      <w:bookmarkEnd w:id="10"/>
      <w:r w:rsidRPr="008C6174">
        <w:rPr>
          <w:b/>
          <w:bCs/>
          <w:sz w:val="32"/>
          <w:szCs w:val="32"/>
          <w:rtl/>
        </w:rPr>
        <w:t xml:space="preserve">لما كان لمحكمة الموضوع السلطة في تحصيل وفهم الواقع في الدعوى وتقدير الأدلة والمستندات وتفسير العقود والمحررات واستخلاص ما تراه أوفى بمقصود عاقديها دون معقب عليها في ذلك </w:t>
      </w:r>
      <w:r w:rsidRPr="008C6174">
        <w:rPr>
          <w:sz w:val="32"/>
          <w:szCs w:val="32"/>
          <w:rtl/>
        </w:rPr>
        <w:t xml:space="preserve">كما </w:t>
      </w:r>
      <w:bookmarkStart w:id="11" w:name="TM2014_1157_2"/>
      <w:bookmarkEnd w:id="11"/>
      <w:r w:rsidRPr="008C6174">
        <w:rPr>
          <w:b/>
          <w:bCs/>
          <w:sz w:val="32"/>
          <w:szCs w:val="32"/>
          <w:rtl/>
        </w:rPr>
        <w:t xml:space="preserve">لها الأخذ بتقرير الخبير المنتدب متى اطمأنت إليه لسلامة الأسس التي بنى عليها </w:t>
      </w:r>
    </w:p>
    <w:p w:rsidR="008C6174" w:rsidRPr="008C6174" w:rsidRDefault="008C6174" w:rsidP="008C6174">
      <w:pPr>
        <w:rPr>
          <w:sz w:val="32"/>
          <w:szCs w:val="32"/>
          <w:lang w:bidi="ar-EG"/>
        </w:rPr>
      </w:pPr>
      <w:bookmarkStart w:id="12" w:name="Anchor126"/>
      <w:bookmarkStart w:id="13" w:name="TM2014_1157_3"/>
      <w:bookmarkEnd w:id="12"/>
      <w:bookmarkEnd w:id="13"/>
      <w:r w:rsidRPr="008C6174">
        <w:rPr>
          <w:b/>
          <w:bCs/>
          <w:sz w:val="32"/>
          <w:szCs w:val="32"/>
          <w:rtl/>
        </w:rPr>
        <w:t xml:space="preserve">ولا تكون ملزمة بالرد استقلالاً على المطاعن التي وجهت إلى هذا التقرير أو ندب خبير آخر لأن في أخذها به محمولاً على أسبابه ما يفيد أنها لم تجد في تلك </w:t>
      </w:r>
      <w:r w:rsidRPr="008C6174">
        <w:rPr>
          <w:b/>
          <w:bCs/>
          <w:sz w:val="32"/>
          <w:szCs w:val="32"/>
          <w:rtl/>
        </w:rPr>
        <w:lastRenderedPageBreak/>
        <w:t>المطاعن ما يستحق الرد عليها بأكثر مما تضمنه التقرير</w:t>
      </w:r>
      <w:r w:rsidRPr="008C6174">
        <w:rPr>
          <w:b/>
          <w:bCs/>
          <w:sz w:val="32"/>
          <w:szCs w:val="32"/>
          <w:lang w:bidi="ar-EG"/>
        </w:rPr>
        <w:t xml:space="preserve">. </w:t>
      </w:r>
      <w:r w:rsidRPr="008C6174">
        <w:rPr>
          <w:sz w:val="32"/>
          <w:szCs w:val="32"/>
          <w:rtl/>
        </w:rPr>
        <w:t xml:space="preserve">لما كان ذلك </w:t>
      </w:r>
      <w:bookmarkStart w:id="14" w:name="TM2014_1157_4"/>
      <w:bookmarkEnd w:id="14"/>
      <w:r w:rsidRPr="008C6174">
        <w:rPr>
          <w:b/>
          <w:bCs/>
          <w:sz w:val="32"/>
          <w:szCs w:val="32"/>
          <w:rtl/>
        </w:rPr>
        <w:t>وكان الحكم الابتدائي المؤيد والمكمل بالحكم المطعون فيه قد قضى برفض دعوى الطاعن على ما خلص إليه من صحة أمر الدفع الدائم المؤرخ 2006/4/6 المنسوب صدوره للطاعن والذي بموجبه أمر البنك المطعون ضده الأول بتحويل مبلغ 21,788 د.ك على أقساط شهرية من حسابه لدى البنك الأخير إلى حسابه لدى البنك الأهلي المتحد بمملكة البحرين والذي أقر فيه أن هذا الأمر غير قابل للنقض أو الالغاء حتى تقديم براءة ذمة من البنك المستفيد والذي خلت الأوراق منه وان تلك الاقساط بمثابة سداد لقرض مبرم بين الطاعن والبنك المستفيد قدم الأخير صورة منه لم يطعن عليها الطاعن بثمة مطعن كما أضاف الحكم المطعون فيه إلى أن الثابت من تقريري الخبرة المنتدبين أمام محكمة أول درجة إنتهيا إلى أنه لا صلة بين أمر التحويل وعقد القرض الممنوح للطاعن من البنك المطعون ضده الأول وان الأخير لم يتقاضى فوائد اضافية عما هو ثابت بعقد القرض والتزم بقرارات البنك المركزي وكان ما خلص إليه الحكم سائغاً وله أصله الثابت بالأوراق وكاف لحمل قضائه فإن ما يثيره الطاعن بأسباب الطعن والتي تدور حول تعييب الحكم في هذا الاستخلاص لا يعدو ان يكون جدلاً فيما تستقل به محكمة الموضوع بتقديره بما لا تجوز إثارته أمام هذه المحكمة ويضحى الطعن وقد أقيم على خلاف المادتين 152, 154/5 من قانون المرافعات</w:t>
      </w:r>
      <w:r w:rsidRPr="008C6174">
        <w:rPr>
          <w:b/>
          <w:bCs/>
          <w:sz w:val="32"/>
          <w:szCs w:val="32"/>
          <w:lang w:bidi="ar-EG"/>
        </w:rPr>
        <w:t>.</w:t>
      </w:r>
    </w:p>
    <w:p w:rsidR="008C6174" w:rsidRPr="008C6174" w:rsidRDefault="008C6174" w:rsidP="008C6174">
      <w:pPr>
        <w:rPr>
          <w:sz w:val="32"/>
          <w:szCs w:val="32"/>
          <w:lang w:bidi="ar-EG"/>
        </w:rPr>
      </w:pPr>
      <w:bookmarkStart w:id="15" w:name="Anchor251"/>
      <w:bookmarkEnd w:id="15"/>
      <w:r w:rsidRPr="008C6174">
        <w:rPr>
          <w:sz w:val="32"/>
          <w:szCs w:val="32"/>
          <w:rtl/>
        </w:rPr>
        <w:t>لذلك</w:t>
      </w:r>
    </w:p>
    <w:p w:rsidR="008C6174" w:rsidRPr="008C6174" w:rsidRDefault="008C6174" w:rsidP="008C6174">
      <w:pPr>
        <w:rPr>
          <w:sz w:val="32"/>
          <w:szCs w:val="32"/>
          <w:lang w:bidi="ar-EG"/>
        </w:rPr>
      </w:pPr>
      <w:bookmarkStart w:id="16" w:name="Anchor252"/>
      <w:bookmarkEnd w:id="16"/>
      <w:r w:rsidRPr="008C6174">
        <w:rPr>
          <w:sz w:val="32"/>
          <w:szCs w:val="32"/>
          <w:rtl/>
        </w:rPr>
        <w:t xml:space="preserve">قررت المحكمة </w:t>
      </w:r>
      <w:r w:rsidRPr="008C6174">
        <w:rPr>
          <w:sz w:val="32"/>
          <w:szCs w:val="32"/>
          <w:lang w:bidi="ar-EG"/>
        </w:rPr>
        <w:t xml:space="preserve">– </w:t>
      </w:r>
      <w:r w:rsidRPr="008C6174">
        <w:rPr>
          <w:sz w:val="32"/>
          <w:szCs w:val="32"/>
          <w:rtl/>
        </w:rPr>
        <w:t xml:space="preserve">في غرفة المشورة </w:t>
      </w:r>
      <w:r w:rsidRPr="008C6174">
        <w:rPr>
          <w:sz w:val="32"/>
          <w:szCs w:val="32"/>
          <w:lang w:bidi="ar-EG"/>
        </w:rPr>
        <w:t xml:space="preserve">- </w:t>
      </w:r>
      <w:r w:rsidRPr="008C6174">
        <w:rPr>
          <w:sz w:val="32"/>
          <w:szCs w:val="32"/>
          <w:rtl/>
        </w:rPr>
        <w:t>عدم قبول الطعن وألزمت الطاعن المصروفات وعشرين ديناراً مقابل أتعاب المحاماة مع مصادرة الكفالة</w:t>
      </w:r>
      <w:r w:rsidRPr="008C6174">
        <w:rPr>
          <w:sz w:val="32"/>
          <w:szCs w:val="32"/>
          <w:lang w:bidi="ar-EG"/>
        </w:rPr>
        <w:t>.</w:t>
      </w:r>
    </w:p>
    <w:p w:rsidR="008C6174" w:rsidRPr="008C6174" w:rsidRDefault="008C6174" w:rsidP="008C6174">
      <w:pPr>
        <w:rPr>
          <w:sz w:val="32"/>
          <w:szCs w:val="32"/>
          <w:lang w:bidi="ar-EG"/>
        </w:rPr>
      </w:pPr>
    </w:p>
    <w:p w:rsidR="008C6174" w:rsidRPr="008C6174" w:rsidRDefault="008C6174" w:rsidP="008C6174">
      <w:pPr>
        <w:rPr>
          <w:sz w:val="32"/>
          <w:szCs w:val="32"/>
          <w:lang w:bidi="ar-EG"/>
        </w:rPr>
      </w:pPr>
      <w:bookmarkStart w:id="17" w:name="Anchor270"/>
      <w:bookmarkEnd w:id="17"/>
      <w:r w:rsidRPr="008C6174">
        <w:rPr>
          <w:sz w:val="32"/>
          <w:szCs w:val="32"/>
          <w:lang w:bidi="ar-EG"/>
        </w:rPr>
        <w:t>* * *</w:t>
      </w:r>
    </w:p>
    <w:p w:rsidR="00D32E0F" w:rsidRPr="008C6174" w:rsidRDefault="00D32E0F">
      <w:pPr>
        <w:rPr>
          <w:rFonts w:hint="cs"/>
          <w:sz w:val="32"/>
          <w:szCs w:val="32"/>
          <w:lang w:bidi="ar-EG"/>
        </w:rPr>
      </w:pPr>
    </w:p>
    <w:sectPr w:rsidR="00D32E0F" w:rsidRPr="008C6174"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B18"/>
    <w:rsid w:val="0003272B"/>
    <w:rsid w:val="00174B18"/>
    <w:rsid w:val="008C6174"/>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1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1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145189">
      <w:bodyDiv w:val="1"/>
      <w:marLeft w:val="0"/>
      <w:marRight w:val="0"/>
      <w:marTop w:val="0"/>
      <w:marBottom w:val="0"/>
      <w:divBdr>
        <w:top w:val="none" w:sz="0" w:space="0" w:color="auto"/>
        <w:left w:val="none" w:sz="0" w:space="0" w:color="auto"/>
        <w:bottom w:val="none" w:sz="0" w:space="0" w:color="auto"/>
        <w:right w:val="none" w:sz="0" w:space="0" w:color="auto"/>
      </w:divBdr>
      <w:divsChild>
        <w:div w:id="1333755528">
          <w:marLeft w:val="0"/>
          <w:marRight w:val="0"/>
          <w:marTop w:val="0"/>
          <w:marBottom w:val="0"/>
          <w:divBdr>
            <w:top w:val="none" w:sz="0" w:space="0" w:color="auto"/>
            <w:left w:val="none" w:sz="0" w:space="0" w:color="auto"/>
            <w:bottom w:val="none" w:sz="0" w:space="0" w:color="auto"/>
            <w:right w:val="none" w:sz="0" w:space="0" w:color="auto"/>
          </w:divBdr>
        </w:div>
        <w:div w:id="1556157382">
          <w:marLeft w:val="0"/>
          <w:marRight w:val="0"/>
          <w:marTop w:val="0"/>
          <w:marBottom w:val="0"/>
          <w:divBdr>
            <w:top w:val="none" w:sz="0" w:space="0" w:color="auto"/>
            <w:left w:val="none" w:sz="0" w:space="0" w:color="auto"/>
            <w:bottom w:val="none" w:sz="0" w:space="0" w:color="auto"/>
            <w:right w:val="none" w:sz="0" w:space="0" w:color="auto"/>
          </w:divBdr>
        </w:div>
        <w:div w:id="688264524">
          <w:marLeft w:val="0"/>
          <w:marRight w:val="0"/>
          <w:marTop w:val="0"/>
          <w:marBottom w:val="0"/>
          <w:divBdr>
            <w:top w:val="none" w:sz="0" w:space="0" w:color="auto"/>
            <w:left w:val="none" w:sz="0" w:space="0" w:color="auto"/>
            <w:bottom w:val="none" w:sz="0" w:space="0" w:color="auto"/>
            <w:right w:val="none" w:sz="0" w:space="0" w:color="auto"/>
          </w:divBdr>
        </w:div>
        <w:div w:id="150415364">
          <w:marLeft w:val="0"/>
          <w:marRight w:val="0"/>
          <w:marTop w:val="0"/>
          <w:marBottom w:val="0"/>
          <w:divBdr>
            <w:top w:val="none" w:sz="0" w:space="0" w:color="auto"/>
            <w:left w:val="none" w:sz="0" w:space="0" w:color="auto"/>
            <w:bottom w:val="none" w:sz="0" w:space="0" w:color="auto"/>
            <w:right w:val="none" w:sz="0" w:space="0" w:color="auto"/>
          </w:divBdr>
        </w:div>
        <w:div w:id="709651789">
          <w:marLeft w:val="0"/>
          <w:marRight w:val="0"/>
          <w:marTop w:val="0"/>
          <w:marBottom w:val="0"/>
          <w:divBdr>
            <w:top w:val="none" w:sz="0" w:space="0" w:color="auto"/>
            <w:left w:val="none" w:sz="0" w:space="0" w:color="auto"/>
            <w:bottom w:val="none" w:sz="0" w:space="0" w:color="auto"/>
            <w:right w:val="none" w:sz="0" w:space="0" w:color="auto"/>
          </w:divBdr>
        </w:div>
        <w:div w:id="1422528791">
          <w:marLeft w:val="0"/>
          <w:marRight w:val="0"/>
          <w:marTop w:val="0"/>
          <w:marBottom w:val="0"/>
          <w:divBdr>
            <w:top w:val="none" w:sz="0" w:space="0" w:color="auto"/>
            <w:left w:val="none" w:sz="0" w:space="0" w:color="auto"/>
            <w:bottom w:val="none" w:sz="0" w:space="0" w:color="auto"/>
            <w:right w:val="none" w:sz="0" w:space="0" w:color="auto"/>
          </w:divBdr>
        </w:div>
        <w:div w:id="579607144">
          <w:marLeft w:val="0"/>
          <w:marRight w:val="0"/>
          <w:marTop w:val="0"/>
          <w:marBottom w:val="0"/>
          <w:divBdr>
            <w:top w:val="none" w:sz="0" w:space="0" w:color="auto"/>
            <w:left w:val="none" w:sz="0" w:space="0" w:color="auto"/>
            <w:bottom w:val="none" w:sz="0" w:space="0" w:color="auto"/>
            <w:right w:val="none" w:sz="0" w:space="0" w:color="auto"/>
          </w:divBdr>
        </w:div>
        <w:div w:id="394743442">
          <w:marLeft w:val="0"/>
          <w:marRight w:val="0"/>
          <w:marTop w:val="0"/>
          <w:marBottom w:val="0"/>
          <w:divBdr>
            <w:top w:val="none" w:sz="0" w:space="0" w:color="auto"/>
            <w:left w:val="none" w:sz="0" w:space="0" w:color="auto"/>
            <w:bottom w:val="none" w:sz="0" w:space="0" w:color="auto"/>
            <w:right w:val="none" w:sz="0" w:space="0" w:color="auto"/>
          </w:divBdr>
        </w:div>
        <w:div w:id="1179082261">
          <w:marLeft w:val="0"/>
          <w:marRight w:val="0"/>
          <w:marTop w:val="0"/>
          <w:marBottom w:val="0"/>
          <w:divBdr>
            <w:top w:val="none" w:sz="0" w:space="0" w:color="auto"/>
            <w:left w:val="none" w:sz="0" w:space="0" w:color="auto"/>
            <w:bottom w:val="none" w:sz="0" w:space="0" w:color="auto"/>
            <w:right w:val="none" w:sz="0" w:space="0" w:color="auto"/>
          </w:divBdr>
        </w:div>
        <w:div w:id="1679186447">
          <w:marLeft w:val="0"/>
          <w:marRight w:val="0"/>
          <w:marTop w:val="0"/>
          <w:marBottom w:val="0"/>
          <w:divBdr>
            <w:top w:val="none" w:sz="0" w:space="0" w:color="auto"/>
            <w:left w:val="none" w:sz="0" w:space="0" w:color="auto"/>
            <w:bottom w:val="none" w:sz="0" w:space="0" w:color="auto"/>
            <w:right w:val="none" w:sz="0" w:space="0" w:color="auto"/>
          </w:divBdr>
        </w:div>
        <w:div w:id="308368015">
          <w:marLeft w:val="0"/>
          <w:marRight w:val="0"/>
          <w:marTop w:val="0"/>
          <w:marBottom w:val="0"/>
          <w:divBdr>
            <w:top w:val="none" w:sz="0" w:space="0" w:color="auto"/>
            <w:left w:val="none" w:sz="0" w:space="0" w:color="auto"/>
            <w:bottom w:val="none" w:sz="0" w:space="0" w:color="auto"/>
            <w:right w:val="none" w:sz="0" w:space="0" w:color="auto"/>
          </w:divBdr>
        </w:div>
        <w:div w:id="1381594599">
          <w:marLeft w:val="0"/>
          <w:marRight w:val="0"/>
          <w:marTop w:val="0"/>
          <w:marBottom w:val="0"/>
          <w:divBdr>
            <w:top w:val="none" w:sz="0" w:space="0" w:color="auto"/>
            <w:left w:val="none" w:sz="0" w:space="0" w:color="auto"/>
            <w:bottom w:val="none" w:sz="0" w:space="0" w:color="auto"/>
            <w:right w:val="none" w:sz="0" w:space="0" w:color="auto"/>
          </w:divBdr>
        </w:div>
        <w:div w:id="1356226858">
          <w:marLeft w:val="0"/>
          <w:marRight w:val="0"/>
          <w:marTop w:val="0"/>
          <w:marBottom w:val="0"/>
          <w:divBdr>
            <w:top w:val="none" w:sz="0" w:space="0" w:color="auto"/>
            <w:left w:val="none" w:sz="0" w:space="0" w:color="auto"/>
            <w:bottom w:val="none" w:sz="0" w:space="0" w:color="auto"/>
            <w:right w:val="none" w:sz="0" w:space="0" w:color="auto"/>
          </w:divBdr>
        </w:div>
      </w:divsChild>
    </w:div>
    <w:div w:id="2061249951">
      <w:bodyDiv w:val="1"/>
      <w:marLeft w:val="0"/>
      <w:marRight w:val="0"/>
      <w:marTop w:val="0"/>
      <w:marBottom w:val="0"/>
      <w:divBdr>
        <w:top w:val="none" w:sz="0" w:space="0" w:color="auto"/>
        <w:left w:val="none" w:sz="0" w:space="0" w:color="auto"/>
        <w:bottom w:val="none" w:sz="0" w:space="0" w:color="auto"/>
        <w:right w:val="none" w:sz="0" w:space="0" w:color="auto"/>
      </w:divBdr>
      <w:divsChild>
        <w:div w:id="1276241">
          <w:marLeft w:val="0"/>
          <w:marRight w:val="0"/>
          <w:marTop w:val="0"/>
          <w:marBottom w:val="0"/>
          <w:divBdr>
            <w:top w:val="none" w:sz="0" w:space="0" w:color="auto"/>
            <w:left w:val="none" w:sz="0" w:space="0" w:color="auto"/>
            <w:bottom w:val="none" w:sz="0" w:space="0" w:color="auto"/>
            <w:right w:val="none" w:sz="0" w:space="0" w:color="auto"/>
          </w:divBdr>
        </w:div>
        <w:div w:id="1326544748">
          <w:marLeft w:val="0"/>
          <w:marRight w:val="0"/>
          <w:marTop w:val="0"/>
          <w:marBottom w:val="0"/>
          <w:divBdr>
            <w:top w:val="none" w:sz="0" w:space="0" w:color="auto"/>
            <w:left w:val="none" w:sz="0" w:space="0" w:color="auto"/>
            <w:bottom w:val="none" w:sz="0" w:space="0" w:color="auto"/>
            <w:right w:val="none" w:sz="0" w:space="0" w:color="auto"/>
          </w:divBdr>
        </w:div>
        <w:div w:id="327028569">
          <w:marLeft w:val="0"/>
          <w:marRight w:val="0"/>
          <w:marTop w:val="0"/>
          <w:marBottom w:val="0"/>
          <w:divBdr>
            <w:top w:val="none" w:sz="0" w:space="0" w:color="auto"/>
            <w:left w:val="none" w:sz="0" w:space="0" w:color="auto"/>
            <w:bottom w:val="none" w:sz="0" w:space="0" w:color="auto"/>
            <w:right w:val="none" w:sz="0" w:space="0" w:color="auto"/>
          </w:divBdr>
        </w:div>
        <w:div w:id="1738628422">
          <w:marLeft w:val="0"/>
          <w:marRight w:val="0"/>
          <w:marTop w:val="0"/>
          <w:marBottom w:val="0"/>
          <w:divBdr>
            <w:top w:val="none" w:sz="0" w:space="0" w:color="auto"/>
            <w:left w:val="none" w:sz="0" w:space="0" w:color="auto"/>
            <w:bottom w:val="none" w:sz="0" w:space="0" w:color="auto"/>
            <w:right w:val="none" w:sz="0" w:space="0" w:color="auto"/>
          </w:divBdr>
        </w:div>
        <w:div w:id="1939875088">
          <w:marLeft w:val="0"/>
          <w:marRight w:val="0"/>
          <w:marTop w:val="0"/>
          <w:marBottom w:val="0"/>
          <w:divBdr>
            <w:top w:val="none" w:sz="0" w:space="0" w:color="auto"/>
            <w:left w:val="none" w:sz="0" w:space="0" w:color="auto"/>
            <w:bottom w:val="none" w:sz="0" w:space="0" w:color="auto"/>
            <w:right w:val="none" w:sz="0" w:space="0" w:color="auto"/>
          </w:divBdr>
        </w:div>
        <w:div w:id="1562987027">
          <w:marLeft w:val="0"/>
          <w:marRight w:val="0"/>
          <w:marTop w:val="0"/>
          <w:marBottom w:val="0"/>
          <w:divBdr>
            <w:top w:val="none" w:sz="0" w:space="0" w:color="auto"/>
            <w:left w:val="none" w:sz="0" w:space="0" w:color="auto"/>
            <w:bottom w:val="none" w:sz="0" w:space="0" w:color="auto"/>
            <w:right w:val="none" w:sz="0" w:space="0" w:color="auto"/>
          </w:divBdr>
        </w:div>
        <w:div w:id="1736657724">
          <w:marLeft w:val="0"/>
          <w:marRight w:val="0"/>
          <w:marTop w:val="0"/>
          <w:marBottom w:val="0"/>
          <w:divBdr>
            <w:top w:val="none" w:sz="0" w:space="0" w:color="auto"/>
            <w:left w:val="none" w:sz="0" w:space="0" w:color="auto"/>
            <w:bottom w:val="none" w:sz="0" w:space="0" w:color="auto"/>
            <w:right w:val="none" w:sz="0" w:space="0" w:color="auto"/>
          </w:divBdr>
        </w:div>
        <w:div w:id="1739279562">
          <w:marLeft w:val="0"/>
          <w:marRight w:val="0"/>
          <w:marTop w:val="0"/>
          <w:marBottom w:val="0"/>
          <w:divBdr>
            <w:top w:val="none" w:sz="0" w:space="0" w:color="auto"/>
            <w:left w:val="none" w:sz="0" w:space="0" w:color="auto"/>
            <w:bottom w:val="none" w:sz="0" w:space="0" w:color="auto"/>
            <w:right w:val="none" w:sz="0" w:space="0" w:color="auto"/>
          </w:divBdr>
        </w:div>
        <w:div w:id="934634">
          <w:marLeft w:val="0"/>
          <w:marRight w:val="0"/>
          <w:marTop w:val="0"/>
          <w:marBottom w:val="0"/>
          <w:divBdr>
            <w:top w:val="none" w:sz="0" w:space="0" w:color="auto"/>
            <w:left w:val="none" w:sz="0" w:space="0" w:color="auto"/>
            <w:bottom w:val="none" w:sz="0" w:space="0" w:color="auto"/>
            <w:right w:val="none" w:sz="0" w:space="0" w:color="auto"/>
          </w:divBdr>
        </w:div>
        <w:div w:id="767428608">
          <w:marLeft w:val="0"/>
          <w:marRight w:val="0"/>
          <w:marTop w:val="0"/>
          <w:marBottom w:val="0"/>
          <w:divBdr>
            <w:top w:val="none" w:sz="0" w:space="0" w:color="auto"/>
            <w:left w:val="none" w:sz="0" w:space="0" w:color="auto"/>
            <w:bottom w:val="none" w:sz="0" w:space="0" w:color="auto"/>
            <w:right w:val="none" w:sz="0" w:space="0" w:color="auto"/>
          </w:divBdr>
        </w:div>
        <w:div w:id="1826625139">
          <w:marLeft w:val="0"/>
          <w:marRight w:val="0"/>
          <w:marTop w:val="0"/>
          <w:marBottom w:val="0"/>
          <w:divBdr>
            <w:top w:val="none" w:sz="0" w:space="0" w:color="auto"/>
            <w:left w:val="none" w:sz="0" w:space="0" w:color="auto"/>
            <w:bottom w:val="none" w:sz="0" w:space="0" w:color="auto"/>
            <w:right w:val="none" w:sz="0" w:space="0" w:color="auto"/>
          </w:divBdr>
        </w:div>
        <w:div w:id="1434477898">
          <w:marLeft w:val="0"/>
          <w:marRight w:val="0"/>
          <w:marTop w:val="0"/>
          <w:marBottom w:val="0"/>
          <w:divBdr>
            <w:top w:val="none" w:sz="0" w:space="0" w:color="auto"/>
            <w:left w:val="none" w:sz="0" w:space="0" w:color="auto"/>
            <w:bottom w:val="none" w:sz="0" w:space="0" w:color="auto"/>
            <w:right w:val="none" w:sz="0" w:space="0" w:color="auto"/>
          </w:divBdr>
        </w:div>
        <w:div w:id="2045212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2020-04-26T13:13:00Z</dcterms:created>
  <dcterms:modified xsi:type="dcterms:W3CDTF">2020-04-26T13:13:00Z</dcterms:modified>
</cp:coreProperties>
</file>