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19" w:rsidRPr="00C41C19" w:rsidRDefault="00C41C19" w:rsidP="00C41C19">
      <w:pPr>
        <w:jc w:val="center"/>
        <w:rPr>
          <w:sz w:val="32"/>
          <w:szCs w:val="32"/>
        </w:rPr>
      </w:pPr>
      <w:bookmarkStart w:id="0" w:name="Anchor1"/>
      <w:bookmarkEnd w:id="0"/>
      <w:r w:rsidRPr="00C41C19">
        <w:rPr>
          <w:sz w:val="32"/>
          <w:szCs w:val="32"/>
          <w:rtl/>
        </w:rPr>
        <w:t xml:space="preserve">الطعن رقم </w:t>
      </w:r>
      <w:r w:rsidRPr="00C41C19">
        <w:rPr>
          <w:sz w:val="32"/>
          <w:szCs w:val="32"/>
        </w:rPr>
        <w:t>1182/</w:t>
      </w:r>
      <w:bookmarkStart w:id="1" w:name="_GoBack"/>
      <w:bookmarkEnd w:id="1"/>
      <w:r w:rsidRPr="00C41C19">
        <w:rPr>
          <w:sz w:val="32"/>
          <w:szCs w:val="32"/>
        </w:rPr>
        <w:t>2013</w:t>
      </w:r>
    </w:p>
    <w:p w:rsidR="00C41C19" w:rsidRPr="00C41C19" w:rsidRDefault="00C41C19" w:rsidP="00C41C19">
      <w:pPr>
        <w:rPr>
          <w:sz w:val="32"/>
          <w:szCs w:val="32"/>
        </w:rPr>
      </w:pPr>
      <w:bookmarkStart w:id="2" w:name="Anchor7"/>
      <w:bookmarkEnd w:id="2"/>
      <w:r w:rsidRPr="00C41C19">
        <w:rPr>
          <w:sz w:val="32"/>
          <w:szCs w:val="32"/>
          <w:rtl/>
        </w:rPr>
        <w:t>هيئة المحكمة</w:t>
      </w:r>
      <w:r w:rsidRPr="00C41C19">
        <w:rPr>
          <w:sz w:val="32"/>
          <w:szCs w:val="32"/>
        </w:rPr>
        <w:t xml:space="preserve">: </w:t>
      </w:r>
      <w:r w:rsidRPr="00C41C19">
        <w:rPr>
          <w:sz w:val="32"/>
          <w:szCs w:val="32"/>
          <w:rtl/>
        </w:rPr>
        <w:t>برئاسة السيد المستشار يونس محمد الياسين رئيس الجلسة وعضوية السادة المستشارين محمد أحمد رشدي وإبراهيم الضبع وهشام فراويلة وثروت نصر الدين</w:t>
      </w:r>
    </w:p>
    <w:bookmarkStart w:id="3" w:name="Anchor24"/>
    <w:bookmarkEnd w:id="3"/>
    <w:p w:rsidR="00C41C19" w:rsidRPr="00C41C19" w:rsidRDefault="00C41C19" w:rsidP="00C41C19">
      <w:pPr>
        <w:rPr>
          <w:sz w:val="32"/>
          <w:szCs w:val="32"/>
        </w:rPr>
      </w:pPr>
      <w:r w:rsidRPr="00C41C19">
        <w:rPr>
          <w:sz w:val="32"/>
          <w:szCs w:val="32"/>
        </w:rPr>
        <w:fldChar w:fldCharType="begin"/>
      </w:r>
      <w:r w:rsidRPr="00C41C19">
        <w:rPr>
          <w:sz w:val="32"/>
          <w:szCs w:val="32"/>
        </w:rPr>
        <w:instrText xml:space="preserve"> HYPERLINK "http://www.law.gov.kw/KWT_CC-Ar/00_2014/00_%D8%A7%D9%84%D8%AF%D8%A7%D8%A6%D8%B1%D8%A9%20%D8%A7%D9%84%D8%AA%D8%AC%D8%A7%D8%B1%D9%8A%D8%A9/KWT-CC-Ar_2014-06-01_01182_Taan.html" \l "TM2014_1182_1" </w:instrText>
      </w:r>
      <w:r w:rsidRPr="00C41C19">
        <w:rPr>
          <w:sz w:val="32"/>
          <w:szCs w:val="32"/>
        </w:rPr>
        <w:fldChar w:fldCharType="separate"/>
      </w:r>
      <w:r w:rsidRPr="00C41C19">
        <w:rPr>
          <w:rStyle w:val="Hyperlink"/>
          <w:sz w:val="32"/>
          <w:szCs w:val="32"/>
        </w:rPr>
        <w:t xml:space="preserve">1- </w:t>
      </w:r>
      <w:r w:rsidRPr="00C41C19">
        <w:rPr>
          <w:rStyle w:val="Hyperlink"/>
          <w:sz w:val="32"/>
          <w:szCs w:val="32"/>
          <w:rtl/>
        </w:rPr>
        <w:t>ان مقاولات بناء العقارات وتعديلها وترميمها وهدفها متى تعهد المقاول بتقديم المواد الأولية او توريد العمال تعد من الأعمال التجارية بقطع النظر عن صفة القائم بها او نيته</w:t>
      </w:r>
      <w:r w:rsidRPr="00C41C19">
        <w:rPr>
          <w:rStyle w:val="Hyperlink"/>
          <w:sz w:val="32"/>
          <w:szCs w:val="32"/>
        </w:rPr>
        <w:t>.</w:t>
      </w:r>
      <w:r w:rsidRPr="00C41C19">
        <w:rPr>
          <w:sz w:val="32"/>
          <w:szCs w:val="32"/>
        </w:rPr>
        <w:fldChar w:fldCharType="end"/>
      </w:r>
    </w:p>
    <w:bookmarkStart w:id="4" w:name="Anchor45"/>
    <w:bookmarkEnd w:id="4"/>
    <w:p w:rsidR="00C41C19" w:rsidRPr="00C41C19" w:rsidRDefault="00C41C19" w:rsidP="00C41C19">
      <w:pPr>
        <w:rPr>
          <w:sz w:val="32"/>
          <w:szCs w:val="32"/>
        </w:rPr>
      </w:pPr>
      <w:r w:rsidRPr="00C41C19">
        <w:rPr>
          <w:sz w:val="32"/>
          <w:szCs w:val="32"/>
        </w:rPr>
        <w:fldChar w:fldCharType="begin"/>
      </w:r>
      <w:r w:rsidRPr="00C41C19">
        <w:rPr>
          <w:sz w:val="32"/>
          <w:szCs w:val="32"/>
        </w:rPr>
        <w:instrText xml:space="preserve"> HYPERLINK "http://www.law.gov.kw/KWT_CC-Ar/00_2014/00_%D8%A7%D9%84%D8%AF%D8%A7%D8%A6%D8%B1%D8%A9%20%D8%A7%D9%84%D8%AA%D8%AC%D8%A7%D8%B1%D9%8A%D8%A9/KWT-CC-Ar_2014-06-01_01182_Taan.html" \l "TM2014_1182_2" </w:instrText>
      </w:r>
      <w:r w:rsidRPr="00C41C19">
        <w:rPr>
          <w:sz w:val="32"/>
          <w:szCs w:val="32"/>
        </w:rPr>
        <w:fldChar w:fldCharType="separate"/>
      </w:r>
      <w:r w:rsidRPr="00C41C19">
        <w:rPr>
          <w:rStyle w:val="Hyperlink"/>
          <w:sz w:val="32"/>
          <w:szCs w:val="32"/>
        </w:rPr>
        <w:t xml:space="preserve">2- </w:t>
      </w:r>
      <w:r w:rsidRPr="00C41C19">
        <w:rPr>
          <w:rStyle w:val="Hyperlink"/>
          <w:sz w:val="32"/>
          <w:szCs w:val="32"/>
          <w:rtl/>
        </w:rPr>
        <w:t>إن التقادم بمضي عشر سنوات يتعلق بالتزامات التجار قبل بعضهم البعض والناشئة عن أعمالهم التجارية</w:t>
      </w:r>
      <w:r w:rsidRPr="00C41C19">
        <w:rPr>
          <w:rStyle w:val="Hyperlink"/>
          <w:sz w:val="32"/>
          <w:szCs w:val="32"/>
        </w:rPr>
        <w:t>.</w:t>
      </w:r>
      <w:r w:rsidRPr="00C41C19">
        <w:rPr>
          <w:sz w:val="32"/>
          <w:szCs w:val="32"/>
        </w:rPr>
        <w:fldChar w:fldCharType="end"/>
      </w:r>
    </w:p>
    <w:bookmarkStart w:id="5" w:name="Anchor59"/>
    <w:bookmarkEnd w:id="5"/>
    <w:p w:rsidR="00C41C19" w:rsidRPr="00C41C19" w:rsidRDefault="00C41C19" w:rsidP="00C41C19">
      <w:pPr>
        <w:rPr>
          <w:sz w:val="32"/>
          <w:szCs w:val="32"/>
        </w:rPr>
      </w:pPr>
      <w:r w:rsidRPr="00C41C19">
        <w:rPr>
          <w:sz w:val="32"/>
          <w:szCs w:val="32"/>
        </w:rPr>
        <w:fldChar w:fldCharType="begin"/>
      </w:r>
      <w:r w:rsidRPr="00C41C19">
        <w:rPr>
          <w:sz w:val="32"/>
          <w:szCs w:val="32"/>
        </w:rPr>
        <w:instrText xml:space="preserve"> HYPERLINK "http://www.law.gov.kw/KWT_CC-Ar/00_2014/00_%D8%A7%D9%84%D8%AF%D8%A7%D8%A6%D8%B1%D8%A9%20%D8%A7%D9%84%D8%AA%D8%AC%D8%A7%D8%B1%D9%8A%D8%A9/KWT-CC-Ar_2014-06-01_01182_Taan.html" \l "TM2014_1182_3" </w:instrText>
      </w:r>
      <w:r w:rsidRPr="00C41C19">
        <w:rPr>
          <w:sz w:val="32"/>
          <w:szCs w:val="32"/>
        </w:rPr>
        <w:fldChar w:fldCharType="separate"/>
      </w:r>
      <w:r w:rsidRPr="00C41C19">
        <w:rPr>
          <w:rStyle w:val="Hyperlink"/>
          <w:sz w:val="32"/>
          <w:szCs w:val="32"/>
        </w:rPr>
        <w:t xml:space="preserve">3- </w:t>
      </w:r>
      <w:r w:rsidRPr="00C41C19">
        <w:rPr>
          <w:rStyle w:val="Hyperlink"/>
          <w:sz w:val="32"/>
          <w:szCs w:val="32"/>
          <w:rtl/>
        </w:rPr>
        <w:t>إن المبالغ المطالب بها ناشئة عن قيام الشركة الطاعنة ببناء مقر السفارة المطعون ضدها التي ليست تاجرة فلا يطبق التقادم المنصوص عليه في المواد التجارية على تلك المطالبة لانتفاء شرطيّ كون الالتزام بين تاجرين وناشئ عن عمل تجاري فيكون التقادم العادي ومدته خمس عشر سنة هو الساري بينهما</w:t>
      </w:r>
      <w:r w:rsidRPr="00C41C19">
        <w:rPr>
          <w:rStyle w:val="Hyperlink"/>
          <w:sz w:val="32"/>
          <w:szCs w:val="32"/>
        </w:rPr>
        <w:t>.</w:t>
      </w:r>
      <w:r w:rsidRPr="00C41C19">
        <w:rPr>
          <w:sz w:val="32"/>
          <w:szCs w:val="32"/>
        </w:rPr>
        <w:fldChar w:fldCharType="end"/>
      </w:r>
      <w:r w:rsidRPr="00C41C19">
        <w:rPr>
          <w:sz w:val="32"/>
          <w:szCs w:val="32"/>
        </w:rPr>
        <w:br/>
      </w:r>
      <w:r w:rsidRPr="00C41C19">
        <w:rPr>
          <w:sz w:val="32"/>
          <w:szCs w:val="32"/>
        </w:rPr>
        <w:br/>
      </w:r>
      <w:r w:rsidRPr="00C41C19">
        <w:rPr>
          <w:sz w:val="32"/>
          <w:szCs w:val="32"/>
          <w:u w:val="single"/>
          <w:rtl/>
        </w:rPr>
        <w:t>ملاحظة</w:t>
      </w:r>
      <w:r w:rsidRPr="00C41C19">
        <w:rPr>
          <w:sz w:val="32"/>
          <w:szCs w:val="32"/>
          <w:u w:val="single"/>
        </w:rPr>
        <w:t xml:space="preserve"> :</w:t>
      </w:r>
      <w:r w:rsidRPr="00C41C19">
        <w:rPr>
          <w:sz w:val="32"/>
          <w:szCs w:val="32"/>
        </w:rPr>
        <w:br/>
      </w:r>
      <w:r w:rsidRPr="00C41C1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41C19" w:rsidRPr="00C41C19" w:rsidRDefault="00C41C19" w:rsidP="00C41C19">
      <w:pPr>
        <w:rPr>
          <w:sz w:val="32"/>
          <w:szCs w:val="32"/>
        </w:rPr>
      </w:pPr>
      <w:bookmarkStart w:id="6" w:name="Anchor87"/>
      <w:bookmarkEnd w:id="6"/>
      <w:r w:rsidRPr="00C41C19">
        <w:rPr>
          <w:b/>
          <w:bCs/>
          <w:sz w:val="32"/>
          <w:szCs w:val="32"/>
          <w:rtl/>
        </w:rPr>
        <w:t>المحكمـــة</w:t>
      </w:r>
    </w:p>
    <w:p w:rsidR="00C41C19" w:rsidRPr="00C41C19" w:rsidRDefault="00C41C19" w:rsidP="00C41C19">
      <w:pPr>
        <w:rPr>
          <w:sz w:val="32"/>
          <w:szCs w:val="32"/>
        </w:rPr>
      </w:pPr>
      <w:bookmarkStart w:id="7" w:name="Anchor88"/>
      <w:bookmarkEnd w:id="7"/>
      <w:r w:rsidRPr="00C41C19">
        <w:rPr>
          <w:sz w:val="32"/>
          <w:szCs w:val="32"/>
          <w:rtl/>
        </w:rPr>
        <w:t>بعد الاطلاع على الأوراق وسماع المرافعة، وبعد المداولة</w:t>
      </w:r>
      <w:r w:rsidRPr="00C41C19">
        <w:rPr>
          <w:sz w:val="32"/>
          <w:szCs w:val="32"/>
        </w:rPr>
        <w:t>.</w:t>
      </w:r>
    </w:p>
    <w:p w:rsidR="00C41C19" w:rsidRPr="00C41C19" w:rsidRDefault="00C41C19" w:rsidP="00C41C19">
      <w:pPr>
        <w:rPr>
          <w:sz w:val="32"/>
          <w:szCs w:val="32"/>
        </w:rPr>
      </w:pPr>
      <w:bookmarkStart w:id="8" w:name="Anchor95"/>
      <w:bookmarkEnd w:id="8"/>
      <w:r w:rsidRPr="00C41C19">
        <w:rPr>
          <w:sz w:val="32"/>
          <w:szCs w:val="32"/>
          <w:rtl/>
        </w:rPr>
        <w:t>حيث إن الطعن استوفى أوضاعه الشكلية</w:t>
      </w:r>
      <w:r w:rsidRPr="00C41C19">
        <w:rPr>
          <w:sz w:val="32"/>
          <w:szCs w:val="32"/>
        </w:rPr>
        <w:t>.</w:t>
      </w:r>
    </w:p>
    <w:p w:rsidR="00C41C19" w:rsidRPr="00C41C19" w:rsidRDefault="00C41C19" w:rsidP="00C41C19">
      <w:pPr>
        <w:rPr>
          <w:sz w:val="32"/>
          <w:szCs w:val="32"/>
        </w:rPr>
      </w:pPr>
      <w:bookmarkStart w:id="9" w:name="Anchor100"/>
      <w:bookmarkEnd w:id="9"/>
      <w:r w:rsidRPr="00C41C19">
        <w:rPr>
          <w:sz w:val="32"/>
          <w:szCs w:val="32"/>
          <w:rtl/>
        </w:rPr>
        <w:t xml:space="preserve">وحيث إن الوقائع </w:t>
      </w:r>
      <w:r w:rsidRPr="00C41C19">
        <w:rPr>
          <w:sz w:val="32"/>
          <w:szCs w:val="32"/>
        </w:rPr>
        <w:t xml:space="preserve">– </w:t>
      </w:r>
      <w:r w:rsidRPr="00C41C19">
        <w:rPr>
          <w:sz w:val="32"/>
          <w:szCs w:val="32"/>
          <w:rtl/>
        </w:rPr>
        <w:t xml:space="preserve">على ما يبين من الحكم المطعون فيه وسائر الأوراق </w:t>
      </w:r>
      <w:r w:rsidRPr="00C41C19">
        <w:rPr>
          <w:sz w:val="32"/>
          <w:szCs w:val="32"/>
        </w:rPr>
        <w:t xml:space="preserve">– </w:t>
      </w:r>
      <w:r w:rsidRPr="00C41C19">
        <w:rPr>
          <w:sz w:val="32"/>
          <w:szCs w:val="32"/>
          <w:rtl/>
        </w:rPr>
        <w:t>تتحصل في أن الشركة الطاعنة أقامت على السفارة المطعون ضدها الدعوى رقم 4091 لسنة 2010 تجاري كلي بطلب الحكم بندب خبير لحساب مستحقاتها لدى المطعون ضدها الناشئة عن عقدي المقاولات والتوريد موضوع النزاع وقيمة الأعمال الإضافية التي نفذتها وحساب الفوائد القانونية من تاريخ الاستحقاق وتقدير التعويض عن الأضرار المادية والأدبية تمهيداً لإلزامها بما يسفر عنه تقرير الخبير</w:t>
      </w:r>
      <w:r w:rsidRPr="00C41C19">
        <w:rPr>
          <w:sz w:val="32"/>
          <w:szCs w:val="32"/>
        </w:rPr>
        <w:t xml:space="preserve">. </w:t>
      </w:r>
      <w:r w:rsidRPr="00C41C19">
        <w:rPr>
          <w:sz w:val="32"/>
          <w:szCs w:val="32"/>
          <w:rtl/>
        </w:rPr>
        <w:t xml:space="preserve">وقالت بياناً لذلك أنها بتاريخ 1993/7/3 تعاقدت مع السفارة المطعون ضدها على أعمال بناء مقر السفارة وسكن السفير للجمهورية العربية السورية لدى الكويت كما تعاقدت </w:t>
      </w:r>
      <w:r w:rsidRPr="00C41C19">
        <w:rPr>
          <w:sz w:val="32"/>
          <w:szCs w:val="32"/>
          <w:rtl/>
        </w:rPr>
        <w:lastRenderedPageBreak/>
        <w:t>بتاريخ 1993/9/14 على توريد الحجر الطبيعي والرخام اللازم لتلك الأعمال وقد قامت بتنفيذ وإنجاز كافة الأعمال المسندة إليها والأعمال الإضافية وامتنعت المطعون ضدها عن صرف باقي مستحقاتها فأقامت الدعوى. وبعد أن أودع الخبير الذي ندبته المحكمة تقريره حكمت بإلزام المطعون ضدها بأن تؤدى إلى الطاعنة مبلغ مقداره 248206.170 دينار ورفضت ما عدا ذلك من طلبات</w:t>
      </w:r>
      <w:r w:rsidRPr="00C41C19">
        <w:rPr>
          <w:sz w:val="32"/>
          <w:szCs w:val="32"/>
        </w:rPr>
        <w:t xml:space="preserve">. </w:t>
      </w:r>
      <w:r w:rsidRPr="00C41C19">
        <w:rPr>
          <w:sz w:val="32"/>
          <w:szCs w:val="32"/>
          <w:rtl/>
        </w:rPr>
        <w:t>استأنفت المطعون ضدها هذا الحكم بالإستئناف رقم 1329 لسنة 2013 تجاري كما إستأنفته المطعون ضدها بالإستئناف رقم 1346 لسنة 2013 تجاري. وبعد أن ضمت المحكمة الإستئناف الثاني إلى الإستئناف الأول قضت بتاريخ 2013/4/29 في الإستئناف الأول بإلغاء الحكم المستأنف والقضاء بسقوط الحق المطالب به بالتقادم وفي الإستئناف الثاني برفضه</w:t>
      </w:r>
      <w:r w:rsidRPr="00C41C19">
        <w:rPr>
          <w:sz w:val="32"/>
          <w:szCs w:val="32"/>
        </w:rPr>
        <w:t xml:space="preserve">. </w:t>
      </w:r>
      <w:r w:rsidRPr="00C41C19">
        <w:rPr>
          <w:sz w:val="32"/>
          <w:szCs w:val="32"/>
          <w:rtl/>
        </w:rPr>
        <w:t>طعنت الشركة الطاعنة في هذا الحكم بطريق التمييز، وأودعت النيابة مذكرة أبدت فيها الرأي برفض الطعن، وإذ عُرض الطعن على هذه المحكمة في غرفة المشورة حددت جلسة لنظره وفيها إلتزمت النيابة رأيها</w:t>
      </w:r>
      <w:r w:rsidRPr="00C41C19">
        <w:rPr>
          <w:sz w:val="32"/>
          <w:szCs w:val="32"/>
        </w:rPr>
        <w:t>.</w:t>
      </w:r>
    </w:p>
    <w:p w:rsidR="00C41C19" w:rsidRPr="00C41C19" w:rsidRDefault="00C41C19" w:rsidP="00C41C19">
      <w:pPr>
        <w:rPr>
          <w:sz w:val="32"/>
          <w:szCs w:val="32"/>
        </w:rPr>
      </w:pPr>
      <w:bookmarkStart w:id="10" w:name="Anchor241"/>
      <w:bookmarkEnd w:id="10"/>
      <w:r w:rsidRPr="00C41C19">
        <w:rPr>
          <w:sz w:val="32"/>
          <w:szCs w:val="32"/>
          <w:rtl/>
        </w:rPr>
        <w:t>وحيث إن مما تنعاه الطاعنة على الحكم المطعون فيه مخالفة القانون والخطأ في تطبيقه وفي بيان ذلك تقول أن السفارة المطعون ضدها لاتمارس أعمال تجارية ومن ثم لا يسرى في شأن الحق المطالب به مدة التقادم العشري المنصوص عليها في المادة 118 من قانون التجارة، وإذ خالف الحكم المطعون فيه هذا النظر وقضى بسقوط الحق المطالب به بالتقادم إعمالاً لنص المادة سالفة البيان فإنه يكون معيباً بما يستوجب تمييزه</w:t>
      </w:r>
      <w:r w:rsidRPr="00C41C19">
        <w:rPr>
          <w:sz w:val="32"/>
          <w:szCs w:val="32"/>
        </w:rPr>
        <w:t>.</w:t>
      </w:r>
    </w:p>
    <w:p w:rsidR="00C41C19" w:rsidRPr="00C41C19" w:rsidRDefault="00C41C19" w:rsidP="00C41C19">
      <w:pPr>
        <w:rPr>
          <w:sz w:val="32"/>
          <w:szCs w:val="32"/>
        </w:rPr>
      </w:pPr>
      <w:bookmarkStart w:id="11" w:name="Anchor277"/>
      <w:bookmarkStart w:id="12" w:name="TM2014_1182_1"/>
      <w:bookmarkEnd w:id="11"/>
      <w:bookmarkEnd w:id="12"/>
      <w:r w:rsidRPr="00C41C19">
        <w:rPr>
          <w:b/>
          <w:bCs/>
          <w:sz w:val="32"/>
          <w:szCs w:val="32"/>
          <w:rtl/>
        </w:rPr>
        <w:t>وحيث إن هذا النعي في محله، ذلك أنه وإن كانت مقاولات بناء العقارات وتعديلها وترميمها وهدمها متى تعهد المقاول بتقديم المواد الأولية أو توريد العمال تعد من الأعمال التجارية بقطع النظر عن صفة القائم بها أو نيته عملاً بنص المادة 5/16 من قانون التجارة،</w:t>
      </w:r>
      <w:r w:rsidRPr="00C41C19">
        <w:rPr>
          <w:sz w:val="32"/>
          <w:szCs w:val="32"/>
          <w:rtl/>
        </w:rPr>
        <w:t xml:space="preserve"> </w:t>
      </w:r>
    </w:p>
    <w:p w:rsidR="00C41C19" w:rsidRPr="00C41C19" w:rsidRDefault="00C41C19" w:rsidP="00C41C19">
      <w:pPr>
        <w:rPr>
          <w:sz w:val="32"/>
          <w:szCs w:val="32"/>
        </w:rPr>
      </w:pPr>
      <w:bookmarkStart w:id="13" w:name="Anchor302"/>
      <w:bookmarkStart w:id="14" w:name="TM2014_1182_2"/>
      <w:bookmarkEnd w:id="13"/>
      <w:bookmarkEnd w:id="14"/>
      <w:r w:rsidRPr="00C41C19">
        <w:rPr>
          <w:b/>
          <w:bCs/>
          <w:sz w:val="32"/>
          <w:szCs w:val="32"/>
          <w:rtl/>
        </w:rPr>
        <w:t xml:space="preserve">إلا أنه لما كان النص في المادة 118/1 من ذات قانون على أن " في المسائل التجارية تتقادم التزامات التجار المتعلقة بأعمالهم التجارية قبل بعضهم البعض بمضي عشر سنوات من تاريخ حلول ميعاد الوفاء بالالتزام إلا إذا نص القانون على مدة أقل " يدل صراحة وعلى ما هو مقرر </w:t>
      </w:r>
      <w:r w:rsidRPr="00C41C19">
        <w:rPr>
          <w:b/>
          <w:bCs/>
          <w:sz w:val="32"/>
          <w:szCs w:val="32"/>
        </w:rPr>
        <w:t xml:space="preserve">– </w:t>
      </w:r>
      <w:r w:rsidRPr="00C41C19">
        <w:rPr>
          <w:b/>
          <w:bCs/>
          <w:sz w:val="32"/>
          <w:szCs w:val="32"/>
          <w:rtl/>
        </w:rPr>
        <w:t xml:space="preserve">في قضاء هذه المحكمة </w:t>
      </w:r>
      <w:r w:rsidRPr="00C41C19">
        <w:rPr>
          <w:b/>
          <w:bCs/>
          <w:sz w:val="32"/>
          <w:szCs w:val="32"/>
        </w:rPr>
        <w:t xml:space="preserve">– </w:t>
      </w:r>
      <w:r w:rsidRPr="00C41C19">
        <w:rPr>
          <w:b/>
          <w:bCs/>
          <w:sz w:val="32"/>
          <w:szCs w:val="32"/>
          <w:rtl/>
        </w:rPr>
        <w:t>على أن التقادم المنصوص عليه في هذه المادة إنما يتعلق بالتزامات التجار قبل بعضهم البعض والناشئة عن أعمالهم التجارية</w:t>
      </w:r>
      <w:r w:rsidRPr="00C41C19">
        <w:rPr>
          <w:b/>
          <w:bCs/>
          <w:sz w:val="32"/>
          <w:szCs w:val="32"/>
        </w:rPr>
        <w:t>.</w:t>
      </w:r>
      <w:r w:rsidRPr="00C41C19">
        <w:rPr>
          <w:sz w:val="32"/>
          <w:szCs w:val="32"/>
        </w:rPr>
        <w:t xml:space="preserve"> </w:t>
      </w:r>
    </w:p>
    <w:p w:rsidR="00C41C19" w:rsidRPr="00C41C19" w:rsidRDefault="00C41C19" w:rsidP="00C41C19">
      <w:pPr>
        <w:rPr>
          <w:sz w:val="32"/>
          <w:szCs w:val="32"/>
        </w:rPr>
      </w:pPr>
      <w:bookmarkStart w:id="15" w:name="Anchor343"/>
      <w:bookmarkStart w:id="16" w:name="TM2014_1182_3"/>
      <w:bookmarkEnd w:id="15"/>
      <w:bookmarkEnd w:id="16"/>
      <w:r w:rsidRPr="00C41C19">
        <w:rPr>
          <w:b/>
          <w:bCs/>
          <w:sz w:val="32"/>
          <w:szCs w:val="32"/>
          <w:rtl/>
        </w:rPr>
        <w:t>لما كان ذلك وكان الواقع في الدعوى أنه وإن كانت المبالغ المطالب بها ناشئة عن قيام الشركة الطاعنة ببناء مقر السفارة المطعون ضدها إلا أن الأخيرة ليست تاجرة ولم تستهدف من بناء هذا المقر المضاربة لتحقيق ربح مادي ومن ثم فلا يطبق بشأن تلك المطالبة حكم المادة 118/1 من قانون التجارة التي يستلزم إعمالها توافر شرطين مجتمعين هما أن يكون التزاماً بين تاجرين ناشئاً عن عمل تجارى وتكون المطعون ضدها ملتزمة برد المبالغ المطالب بها</w:t>
      </w:r>
      <w:r w:rsidRPr="00C41C19">
        <w:rPr>
          <w:b/>
          <w:bCs/>
          <w:sz w:val="32"/>
          <w:szCs w:val="32"/>
        </w:rPr>
        <w:t xml:space="preserve"> - </w:t>
      </w:r>
      <w:r w:rsidRPr="00C41C19">
        <w:rPr>
          <w:b/>
          <w:bCs/>
          <w:sz w:val="32"/>
          <w:szCs w:val="32"/>
          <w:rtl/>
        </w:rPr>
        <w:t xml:space="preserve">متى ثبت أن ذمتها مشغولة لها </w:t>
      </w:r>
      <w:r w:rsidRPr="00C41C19">
        <w:rPr>
          <w:b/>
          <w:bCs/>
          <w:sz w:val="32"/>
          <w:szCs w:val="32"/>
        </w:rPr>
        <w:t xml:space="preserve">– </w:t>
      </w:r>
      <w:r w:rsidRPr="00C41C19">
        <w:rPr>
          <w:b/>
          <w:bCs/>
          <w:sz w:val="32"/>
          <w:szCs w:val="32"/>
          <w:rtl/>
        </w:rPr>
        <w:t>بإعتبارها ديناً شخصياً في ذمتها غير ناشئ عن عمل تجاري يسري في شأنه التقادم العادي ومدته خمس عشرة سنة، وهو ما لم تكن مدته قد اكتملت عند رفع الدعوى وإذ خالف الحكم المطعون فيه هذا النظر وقضى بقبول الدفع بالتقادم العشري ورتب على ذلك سقوط حق الطاعنة في المطالبة بالتقادم فإنه يكون معيباً مما يوجب تمييزه</w:t>
      </w:r>
      <w:r w:rsidRPr="00C41C19">
        <w:rPr>
          <w:b/>
          <w:bCs/>
          <w:sz w:val="32"/>
          <w:szCs w:val="32"/>
        </w:rPr>
        <w:t>.</w:t>
      </w:r>
    </w:p>
    <w:p w:rsidR="00C41C19" w:rsidRPr="00C41C19" w:rsidRDefault="00C41C19" w:rsidP="00C41C19">
      <w:pPr>
        <w:rPr>
          <w:sz w:val="32"/>
          <w:szCs w:val="32"/>
        </w:rPr>
      </w:pPr>
      <w:bookmarkStart w:id="17" w:name="Anchor415"/>
      <w:bookmarkEnd w:id="17"/>
      <w:r w:rsidRPr="00C41C19">
        <w:rPr>
          <w:sz w:val="32"/>
          <w:szCs w:val="32"/>
          <w:rtl/>
        </w:rPr>
        <w:t>وحيث أنه عن موضوع الإستئنافين فهو غير صالح للفصل فيه وترى المحكمة استجلاءً لوجه الحق فيها ندب إدارة الخبراء بوزارة العدل لتنفيذ المأمورية المبينة بمنطوق هذا الحكم</w:t>
      </w:r>
      <w:r w:rsidRPr="00C41C19">
        <w:rPr>
          <w:sz w:val="32"/>
          <w:szCs w:val="32"/>
        </w:rPr>
        <w:t>.</w:t>
      </w:r>
    </w:p>
    <w:p w:rsidR="00C41C19" w:rsidRPr="00C41C19" w:rsidRDefault="00C41C19" w:rsidP="00C41C19">
      <w:pPr>
        <w:rPr>
          <w:sz w:val="32"/>
          <w:szCs w:val="32"/>
        </w:rPr>
      </w:pPr>
      <w:bookmarkStart w:id="18" w:name="Anchor432"/>
      <w:bookmarkEnd w:id="18"/>
      <w:r w:rsidRPr="00C41C19">
        <w:rPr>
          <w:b/>
          <w:bCs/>
          <w:sz w:val="32"/>
          <w:szCs w:val="32"/>
          <w:rtl/>
        </w:rPr>
        <w:t>فلهــــذه الأســــباب</w:t>
      </w:r>
    </w:p>
    <w:p w:rsidR="00C41C19" w:rsidRPr="00C41C19" w:rsidRDefault="00C41C19" w:rsidP="00C41C19">
      <w:pPr>
        <w:rPr>
          <w:sz w:val="32"/>
          <w:szCs w:val="32"/>
        </w:rPr>
      </w:pPr>
      <w:bookmarkStart w:id="19" w:name="Anchor434"/>
      <w:bookmarkEnd w:id="19"/>
      <w:r w:rsidRPr="00C41C19">
        <w:rPr>
          <w:sz w:val="32"/>
          <w:szCs w:val="32"/>
          <w:rtl/>
        </w:rPr>
        <w:t>حكمت المحكمة</w:t>
      </w:r>
      <w:r w:rsidRPr="00C41C19">
        <w:rPr>
          <w:sz w:val="32"/>
          <w:szCs w:val="32"/>
        </w:rPr>
        <w:t xml:space="preserve"> : </w:t>
      </w:r>
      <w:r w:rsidRPr="00C41C19">
        <w:rPr>
          <w:sz w:val="32"/>
          <w:szCs w:val="32"/>
          <w:rtl/>
        </w:rPr>
        <w:t>أولاً</w:t>
      </w:r>
      <w:r w:rsidRPr="00C41C19">
        <w:rPr>
          <w:sz w:val="32"/>
          <w:szCs w:val="32"/>
        </w:rPr>
        <w:t xml:space="preserve">:- </w:t>
      </w:r>
      <w:r w:rsidRPr="00C41C19">
        <w:rPr>
          <w:sz w:val="32"/>
          <w:szCs w:val="32"/>
          <w:rtl/>
        </w:rPr>
        <w:t>بقبول الطعن شكلاً وفي الموضوع بتمييز الحكم المطعون فيه وألزمت المطعون ضدها المصروفات وعشرين ديناراً مقابل أتعاب المحاماة</w:t>
      </w:r>
      <w:r w:rsidRPr="00C41C19">
        <w:rPr>
          <w:sz w:val="32"/>
          <w:szCs w:val="32"/>
        </w:rPr>
        <w:t>.</w:t>
      </w:r>
    </w:p>
    <w:p w:rsidR="00C41C19" w:rsidRPr="00C41C19" w:rsidRDefault="00C41C19" w:rsidP="00C41C19">
      <w:pPr>
        <w:rPr>
          <w:sz w:val="32"/>
          <w:szCs w:val="32"/>
        </w:rPr>
      </w:pPr>
      <w:bookmarkStart w:id="20" w:name="Anchor449"/>
      <w:bookmarkEnd w:id="20"/>
      <w:r w:rsidRPr="00C41C19">
        <w:rPr>
          <w:sz w:val="32"/>
          <w:szCs w:val="32"/>
          <w:rtl/>
        </w:rPr>
        <w:t>ثانياً</w:t>
      </w:r>
      <w:r w:rsidRPr="00C41C19">
        <w:rPr>
          <w:sz w:val="32"/>
          <w:szCs w:val="32"/>
        </w:rPr>
        <w:t xml:space="preserve">:- </w:t>
      </w:r>
      <w:r w:rsidRPr="00C41C19">
        <w:rPr>
          <w:sz w:val="32"/>
          <w:szCs w:val="32"/>
          <w:rtl/>
        </w:rPr>
        <w:t>وقبل الفصل في موضوع الإستئنافين بإحالة الأوراق إلى إدارة الخبراء بوزارة العدل لتعهد إلى لجنة ثلاثية من إدارة الخبراء ليس من بينها الخبير السابق ندبه تكون مهمتها الإطلاع على أوراق الدعوى وما قدم فيها من مستندات وما عسى أن يقدمه الخصوم منها وبحث كافة اعتراضات الطرفين والانتقال إلى السفارة موضوع النزاع ومعاينتها وبيان الأعمال الأصلية المنفذة وعما إذا كان قد تم تنفيذ أعمال إضافية من عدمه وفى الحالة الأولى بيان القائم بتنفيذها وبيان جملة المبالغ التي تسلمتها شركة الرمال للتجهيزات نظير الأعمال التي قامت بتنفيذها وما قامت بتوريده من مواد وعما إذا كان قد تم خصم أي مبالغ من مستحقاتها بموجب مستندات رسمية صادرة من سفارة الجمهورية العربية السورية من عدمه وصولاً إلى تصفية الحساب بين الطرفين، وبالجملة تحقيق كافة عناصر الدعوى وأوجه دفاع الخصوم، وللجنة في سبيل أداء مأموريتها سماع أقوال الخصوم وشهودهم ومن تري سماع شهادته بدون حلف يمين والإنتقال إلى أية جهة حكومية أو غير حكومية ترى ضرورة الإنتقال إليها للإطلاع على ما لديها من مستندات تفيد في الكشف عن الحقيقة وإتخاذ ما تراه لتنفيذ المأمورية، وقدرت مبلغ ثلاثمائة دينار لأتعاب الخبرة ألزمت المستأنفة في الإستئناف رقم 1346 لسنة 2013 تجاري (شركة الرمال للتجهيزات</w:t>
      </w:r>
      <w:r w:rsidRPr="00C41C19">
        <w:rPr>
          <w:sz w:val="32"/>
          <w:szCs w:val="32"/>
        </w:rPr>
        <w:t xml:space="preserve">) </w:t>
      </w:r>
      <w:r w:rsidRPr="00C41C19">
        <w:rPr>
          <w:sz w:val="32"/>
          <w:szCs w:val="32"/>
          <w:rtl/>
        </w:rPr>
        <w:t>بآدائها وحددت جلسة 2014/6/15 لنظر الدعوى بحالتها في حالة عدم سداد الأمانة وجلسة 2014/7/6 للحضور أمام اللجنة في حالة سدادها وجلسة 2014/12/7 وحتى تقدم اللجنة تقريرها وأبقت الفصل في المصروفات وعلى إدارة الكتاب إعلان السفارة المستأنف ضدها بمنطوق هذا الحكم</w:t>
      </w:r>
      <w:r w:rsidRPr="00C41C19">
        <w:rPr>
          <w:sz w:val="32"/>
          <w:szCs w:val="32"/>
        </w:rPr>
        <w:t xml:space="preserve">. </w:t>
      </w:r>
    </w:p>
    <w:p w:rsidR="00C41C19" w:rsidRPr="00C41C19" w:rsidRDefault="00C41C19" w:rsidP="00C41C19">
      <w:pPr>
        <w:rPr>
          <w:sz w:val="32"/>
          <w:szCs w:val="32"/>
        </w:rPr>
      </w:pPr>
    </w:p>
    <w:p w:rsidR="00C41C19" w:rsidRPr="00C41C19" w:rsidRDefault="00C41C19" w:rsidP="00C41C19">
      <w:pPr>
        <w:rPr>
          <w:sz w:val="32"/>
          <w:szCs w:val="32"/>
        </w:rPr>
      </w:pPr>
      <w:bookmarkStart w:id="21" w:name="Anchor579"/>
      <w:bookmarkEnd w:id="21"/>
      <w:r w:rsidRPr="00C41C19">
        <w:rPr>
          <w:sz w:val="32"/>
          <w:szCs w:val="32"/>
        </w:rPr>
        <w:t>* * *</w:t>
      </w:r>
    </w:p>
    <w:p w:rsidR="008C2BA0" w:rsidRPr="00C41C19" w:rsidRDefault="008C2BA0">
      <w:pPr>
        <w:rPr>
          <w:sz w:val="32"/>
          <w:szCs w:val="32"/>
        </w:rPr>
      </w:pPr>
    </w:p>
    <w:sectPr w:rsidR="008C2BA0" w:rsidRPr="00C41C1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64"/>
    <w:rsid w:val="0003272B"/>
    <w:rsid w:val="00430464"/>
    <w:rsid w:val="008C2BA0"/>
    <w:rsid w:val="00C4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C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018">
      <w:bodyDiv w:val="1"/>
      <w:marLeft w:val="0"/>
      <w:marRight w:val="0"/>
      <w:marTop w:val="0"/>
      <w:marBottom w:val="0"/>
      <w:divBdr>
        <w:top w:val="none" w:sz="0" w:space="0" w:color="auto"/>
        <w:left w:val="none" w:sz="0" w:space="0" w:color="auto"/>
        <w:bottom w:val="none" w:sz="0" w:space="0" w:color="auto"/>
        <w:right w:val="none" w:sz="0" w:space="0" w:color="auto"/>
      </w:divBdr>
      <w:divsChild>
        <w:div w:id="214394807">
          <w:marLeft w:val="0"/>
          <w:marRight w:val="0"/>
          <w:marTop w:val="0"/>
          <w:marBottom w:val="0"/>
          <w:divBdr>
            <w:top w:val="none" w:sz="0" w:space="0" w:color="auto"/>
            <w:left w:val="none" w:sz="0" w:space="0" w:color="auto"/>
            <w:bottom w:val="none" w:sz="0" w:space="0" w:color="auto"/>
            <w:right w:val="none" w:sz="0" w:space="0" w:color="auto"/>
          </w:divBdr>
        </w:div>
        <w:div w:id="2128431595">
          <w:marLeft w:val="0"/>
          <w:marRight w:val="0"/>
          <w:marTop w:val="0"/>
          <w:marBottom w:val="0"/>
          <w:divBdr>
            <w:top w:val="none" w:sz="0" w:space="0" w:color="auto"/>
            <w:left w:val="none" w:sz="0" w:space="0" w:color="auto"/>
            <w:bottom w:val="none" w:sz="0" w:space="0" w:color="auto"/>
            <w:right w:val="none" w:sz="0" w:space="0" w:color="auto"/>
          </w:divBdr>
        </w:div>
        <w:div w:id="1733775762">
          <w:marLeft w:val="0"/>
          <w:marRight w:val="0"/>
          <w:marTop w:val="0"/>
          <w:marBottom w:val="0"/>
          <w:divBdr>
            <w:top w:val="none" w:sz="0" w:space="0" w:color="auto"/>
            <w:left w:val="none" w:sz="0" w:space="0" w:color="auto"/>
            <w:bottom w:val="none" w:sz="0" w:space="0" w:color="auto"/>
            <w:right w:val="none" w:sz="0" w:space="0" w:color="auto"/>
          </w:divBdr>
        </w:div>
        <w:div w:id="1741444498">
          <w:marLeft w:val="0"/>
          <w:marRight w:val="0"/>
          <w:marTop w:val="0"/>
          <w:marBottom w:val="0"/>
          <w:divBdr>
            <w:top w:val="none" w:sz="0" w:space="0" w:color="auto"/>
            <w:left w:val="none" w:sz="0" w:space="0" w:color="auto"/>
            <w:bottom w:val="none" w:sz="0" w:space="0" w:color="auto"/>
            <w:right w:val="none" w:sz="0" w:space="0" w:color="auto"/>
          </w:divBdr>
        </w:div>
        <w:div w:id="1982880233">
          <w:marLeft w:val="0"/>
          <w:marRight w:val="0"/>
          <w:marTop w:val="0"/>
          <w:marBottom w:val="0"/>
          <w:divBdr>
            <w:top w:val="none" w:sz="0" w:space="0" w:color="auto"/>
            <w:left w:val="none" w:sz="0" w:space="0" w:color="auto"/>
            <w:bottom w:val="none" w:sz="0" w:space="0" w:color="auto"/>
            <w:right w:val="none" w:sz="0" w:space="0" w:color="auto"/>
          </w:divBdr>
        </w:div>
        <w:div w:id="1656301943">
          <w:marLeft w:val="0"/>
          <w:marRight w:val="0"/>
          <w:marTop w:val="0"/>
          <w:marBottom w:val="0"/>
          <w:divBdr>
            <w:top w:val="none" w:sz="0" w:space="0" w:color="auto"/>
            <w:left w:val="none" w:sz="0" w:space="0" w:color="auto"/>
            <w:bottom w:val="none" w:sz="0" w:space="0" w:color="auto"/>
            <w:right w:val="none" w:sz="0" w:space="0" w:color="auto"/>
          </w:divBdr>
        </w:div>
        <w:div w:id="1449202507">
          <w:marLeft w:val="0"/>
          <w:marRight w:val="0"/>
          <w:marTop w:val="0"/>
          <w:marBottom w:val="0"/>
          <w:divBdr>
            <w:top w:val="none" w:sz="0" w:space="0" w:color="auto"/>
            <w:left w:val="none" w:sz="0" w:space="0" w:color="auto"/>
            <w:bottom w:val="none" w:sz="0" w:space="0" w:color="auto"/>
            <w:right w:val="none" w:sz="0" w:space="0" w:color="auto"/>
          </w:divBdr>
        </w:div>
        <w:div w:id="517160917">
          <w:marLeft w:val="0"/>
          <w:marRight w:val="0"/>
          <w:marTop w:val="0"/>
          <w:marBottom w:val="0"/>
          <w:divBdr>
            <w:top w:val="none" w:sz="0" w:space="0" w:color="auto"/>
            <w:left w:val="none" w:sz="0" w:space="0" w:color="auto"/>
            <w:bottom w:val="none" w:sz="0" w:space="0" w:color="auto"/>
            <w:right w:val="none" w:sz="0" w:space="0" w:color="auto"/>
          </w:divBdr>
        </w:div>
        <w:div w:id="1682782358">
          <w:marLeft w:val="0"/>
          <w:marRight w:val="0"/>
          <w:marTop w:val="0"/>
          <w:marBottom w:val="0"/>
          <w:divBdr>
            <w:top w:val="none" w:sz="0" w:space="0" w:color="auto"/>
            <w:left w:val="none" w:sz="0" w:space="0" w:color="auto"/>
            <w:bottom w:val="none" w:sz="0" w:space="0" w:color="auto"/>
            <w:right w:val="none" w:sz="0" w:space="0" w:color="auto"/>
          </w:divBdr>
        </w:div>
        <w:div w:id="1988975353">
          <w:marLeft w:val="0"/>
          <w:marRight w:val="0"/>
          <w:marTop w:val="0"/>
          <w:marBottom w:val="0"/>
          <w:divBdr>
            <w:top w:val="none" w:sz="0" w:space="0" w:color="auto"/>
            <w:left w:val="none" w:sz="0" w:space="0" w:color="auto"/>
            <w:bottom w:val="none" w:sz="0" w:space="0" w:color="auto"/>
            <w:right w:val="none" w:sz="0" w:space="0" w:color="auto"/>
          </w:divBdr>
        </w:div>
        <w:div w:id="853375747">
          <w:marLeft w:val="0"/>
          <w:marRight w:val="0"/>
          <w:marTop w:val="0"/>
          <w:marBottom w:val="0"/>
          <w:divBdr>
            <w:top w:val="none" w:sz="0" w:space="0" w:color="auto"/>
            <w:left w:val="none" w:sz="0" w:space="0" w:color="auto"/>
            <w:bottom w:val="none" w:sz="0" w:space="0" w:color="auto"/>
            <w:right w:val="none" w:sz="0" w:space="0" w:color="auto"/>
          </w:divBdr>
        </w:div>
        <w:div w:id="1045838594">
          <w:marLeft w:val="0"/>
          <w:marRight w:val="0"/>
          <w:marTop w:val="0"/>
          <w:marBottom w:val="0"/>
          <w:divBdr>
            <w:top w:val="none" w:sz="0" w:space="0" w:color="auto"/>
            <w:left w:val="none" w:sz="0" w:space="0" w:color="auto"/>
            <w:bottom w:val="none" w:sz="0" w:space="0" w:color="auto"/>
            <w:right w:val="none" w:sz="0" w:space="0" w:color="auto"/>
          </w:divBdr>
        </w:div>
        <w:div w:id="1614745407">
          <w:marLeft w:val="0"/>
          <w:marRight w:val="0"/>
          <w:marTop w:val="0"/>
          <w:marBottom w:val="0"/>
          <w:divBdr>
            <w:top w:val="none" w:sz="0" w:space="0" w:color="auto"/>
            <w:left w:val="none" w:sz="0" w:space="0" w:color="auto"/>
            <w:bottom w:val="none" w:sz="0" w:space="0" w:color="auto"/>
            <w:right w:val="none" w:sz="0" w:space="0" w:color="auto"/>
          </w:divBdr>
        </w:div>
        <w:div w:id="1863592180">
          <w:marLeft w:val="0"/>
          <w:marRight w:val="0"/>
          <w:marTop w:val="0"/>
          <w:marBottom w:val="0"/>
          <w:divBdr>
            <w:top w:val="none" w:sz="0" w:space="0" w:color="auto"/>
            <w:left w:val="none" w:sz="0" w:space="0" w:color="auto"/>
            <w:bottom w:val="none" w:sz="0" w:space="0" w:color="auto"/>
            <w:right w:val="none" w:sz="0" w:space="0" w:color="auto"/>
          </w:divBdr>
        </w:div>
        <w:div w:id="607082609">
          <w:marLeft w:val="0"/>
          <w:marRight w:val="0"/>
          <w:marTop w:val="0"/>
          <w:marBottom w:val="0"/>
          <w:divBdr>
            <w:top w:val="none" w:sz="0" w:space="0" w:color="auto"/>
            <w:left w:val="none" w:sz="0" w:space="0" w:color="auto"/>
            <w:bottom w:val="none" w:sz="0" w:space="0" w:color="auto"/>
            <w:right w:val="none" w:sz="0" w:space="0" w:color="auto"/>
          </w:divBdr>
        </w:div>
        <w:div w:id="164169333">
          <w:marLeft w:val="0"/>
          <w:marRight w:val="0"/>
          <w:marTop w:val="0"/>
          <w:marBottom w:val="0"/>
          <w:divBdr>
            <w:top w:val="none" w:sz="0" w:space="0" w:color="auto"/>
            <w:left w:val="none" w:sz="0" w:space="0" w:color="auto"/>
            <w:bottom w:val="none" w:sz="0" w:space="0" w:color="auto"/>
            <w:right w:val="none" w:sz="0" w:space="0" w:color="auto"/>
          </w:divBdr>
        </w:div>
        <w:div w:id="1205873130">
          <w:marLeft w:val="0"/>
          <w:marRight w:val="0"/>
          <w:marTop w:val="0"/>
          <w:marBottom w:val="0"/>
          <w:divBdr>
            <w:top w:val="none" w:sz="0" w:space="0" w:color="auto"/>
            <w:left w:val="none" w:sz="0" w:space="0" w:color="auto"/>
            <w:bottom w:val="none" w:sz="0" w:space="0" w:color="auto"/>
            <w:right w:val="none" w:sz="0" w:space="0" w:color="auto"/>
          </w:divBdr>
        </w:div>
        <w:div w:id="33776140">
          <w:marLeft w:val="0"/>
          <w:marRight w:val="0"/>
          <w:marTop w:val="0"/>
          <w:marBottom w:val="0"/>
          <w:divBdr>
            <w:top w:val="none" w:sz="0" w:space="0" w:color="auto"/>
            <w:left w:val="none" w:sz="0" w:space="0" w:color="auto"/>
            <w:bottom w:val="none" w:sz="0" w:space="0" w:color="auto"/>
            <w:right w:val="none" w:sz="0" w:space="0" w:color="auto"/>
          </w:divBdr>
        </w:div>
      </w:divsChild>
    </w:div>
    <w:div w:id="2130852242">
      <w:bodyDiv w:val="1"/>
      <w:marLeft w:val="0"/>
      <w:marRight w:val="0"/>
      <w:marTop w:val="0"/>
      <w:marBottom w:val="0"/>
      <w:divBdr>
        <w:top w:val="none" w:sz="0" w:space="0" w:color="auto"/>
        <w:left w:val="none" w:sz="0" w:space="0" w:color="auto"/>
        <w:bottom w:val="none" w:sz="0" w:space="0" w:color="auto"/>
        <w:right w:val="none" w:sz="0" w:space="0" w:color="auto"/>
      </w:divBdr>
      <w:divsChild>
        <w:div w:id="104885963">
          <w:marLeft w:val="0"/>
          <w:marRight w:val="0"/>
          <w:marTop w:val="0"/>
          <w:marBottom w:val="0"/>
          <w:divBdr>
            <w:top w:val="none" w:sz="0" w:space="0" w:color="auto"/>
            <w:left w:val="none" w:sz="0" w:space="0" w:color="auto"/>
            <w:bottom w:val="none" w:sz="0" w:space="0" w:color="auto"/>
            <w:right w:val="none" w:sz="0" w:space="0" w:color="auto"/>
          </w:divBdr>
        </w:div>
        <w:div w:id="39525224">
          <w:marLeft w:val="0"/>
          <w:marRight w:val="0"/>
          <w:marTop w:val="0"/>
          <w:marBottom w:val="0"/>
          <w:divBdr>
            <w:top w:val="none" w:sz="0" w:space="0" w:color="auto"/>
            <w:left w:val="none" w:sz="0" w:space="0" w:color="auto"/>
            <w:bottom w:val="none" w:sz="0" w:space="0" w:color="auto"/>
            <w:right w:val="none" w:sz="0" w:space="0" w:color="auto"/>
          </w:divBdr>
        </w:div>
        <w:div w:id="1860855385">
          <w:marLeft w:val="0"/>
          <w:marRight w:val="0"/>
          <w:marTop w:val="0"/>
          <w:marBottom w:val="0"/>
          <w:divBdr>
            <w:top w:val="none" w:sz="0" w:space="0" w:color="auto"/>
            <w:left w:val="none" w:sz="0" w:space="0" w:color="auto"/>
            <w:bottom w:val="none" w:sz="0" w:space="0" w:color="auto"/>
            <w:right w:val="none" w:sz="0" w:space="0" w:color="auto"/>
          </w:divBdr>
        </w:div>
        <w:div w:id="16082893">
          <w:marLeft w:val="0"/>
          <w:marRight w:val="0"/>
          <w:marTop w:val="0"/>
          <w:marBottom w:val="0"/>
          <w:divBdr>
            <w:top w:val="none" w:sz="0" w:space="0" w:color="auto"/>
            <w:left w:val="none" w:sz="0" w:space="0" w:color="auto"/>
            <w:bottom w:val="none" w:sz="0" w:space="0" w:color="auto"/>
            <w:right w:val="none" w:sz="0" w:space="0" w:color="auto"/>
          </w:divBdr>
        </w:div>
        <w:div w:id="1086531555">
          <w:marLeft w:val="0"/>
          <w:marRight w:val="0"/>
          <w:marTop w:val="0"/>
          <w:marBottom w:val="0"/>
          <w:divBdr>
            <w:top w:val="none" w:sz="0" w:space="0" w:color="auto"/>
            <w:left w:val="none" w:sz="0" w:space="0" w:color="auto"/>
            <w:bottom w:val="none" w:sz="0" w:space="0" w:color="auto"/>
            <w:right w:val="none" w:sz="0" w:space="0" w:color="auto"/>
          </w:divBdr>
        </w:div>
        <w:div w:id="936526210">
          <w:marLeft w:val="0"/>
          <w:marRight w:val="0"/>
          <w:marTop w:val="0"/>
          <w:marBottom w:val="0"/>
          <w:divBdr>
            <w:top w:val="none" w:sz="0" w:space="0" w:color="auto"/>
            <w:left w:val="none" w:sz="0" w:space="0" w:color="auto"/>
            <w:bottom w:val="none" w:sz="0" w:space="0" w:color="auto"/>
            <w:right w:val="none" w:sz="0" w:space="0" w:color="auto"/>
          </w:divBdr>
        </w:div>
        <w:div w:id="731124685">
          <w:marLeft w:val="0"/>
          <w:marRight w:val="0"/>
          <w:marTop w:val="0"/>
          <w:marBottom w:val="0"/>
          <w:divBdr>
            <w:top w:val="none" w:sz="0" w:space="0" w:color="auto"/>
            <w:left w:val="none" w:sz="0" w:space="0" w:color="auto"/>
            <w:bottom w:val="none" w:sz="0" w:space="0" w:color="auto"/>
            <w:right w:val="none" w:sz="0" w:space="0" w:color="auto"/>
          </w:divBdr>
        </w:div>
        <w:div w:id="464279697">
          <w:marLeft w:val="0"/>
          <w:marRight w:val="0"/>
          <w:marTop w:val="0"/>
          <w:marBottom w:val="0"/>
          <w:divBdr>
            <w:top w:val="none" w:sz="0" w:space="0" w:color="auto"/>
            <w:left w:val="none" w:sz="0" w:space="0" w:color="auto"/>
            <w:bottom w:val="none" w:sz="0" w:space="0" w:color="auto"/>
            <w:right w:val="none" w:sz="0" w:space="0" w:color="auto"/>
          </w:divBdr>
        </w:div>
        <w:div w:id="1366979734">
          <w:marLeft w:val="0"/>
          <w:marRight w:val="0"/>
          <w:marTop w:val="0"/>
          <w:marBottom w:val="0"/>
          <w:divBdr>
            <w:top w:val="none" w:sz="0" w:space="0" w:color="auto"/>
            <w:left w:val="none" w:sz="0" w:space="0" w:color="auto"/>
            <w:bottom w:val="none" w:sz="0" w:space="0" w:color="auto"/>
            <w:right w:val="none" w:sz="0" w:space="0" w:color="auto"/>
          </w:divBdr>
        </w:div>
        <w:div w:id="1063869587">
          <w:marLeft w:val="0"/>
          <w:marRight w:val="0"/>
          <w:marTop w:val="0"/>
          <w:marBottom w:val="0"/>
          <w:divBdr>
            <w:top w:val="none" w:sz="0" w:space="0" w:color="auto"/>
            <w:left w:val="none" w:sz="0" w:space="0" w:color="auto"/>
            <w:bottom w:val="none" w:sz="0" w:space="0" w:color="auto"/>
            <w:right w:val="none" w:sz="0" w:space="0" w:color="auto"/>
          </w:divBdr>
        </w:div>
        <w:div w:id="561788807">
          <w:marLeft w:val="0"/>
          <w:marRight w:val="0"/>
          <w:marTop w:val="0"/>
          <w:marBottom w:val="0"/>
          <w:divBdr>
            <w:top w:val="none" w:sz="0" w:space="0" w:color="auto"/>
            <w:left w:val="none" w:sz="0" w:space="0" w:color="auto"/>
            <w:bottom w:val="none" w:sz="0" w:space="0" w:color="auto"/>
            <w:right w:val="none" w:sz="0" w:space="0" w:color="auto"/>
          </w:divBdr>
        </w:div>
        <w:div w:id="1179932362">
          <w:marLeft w:val="0"/>
          <w:marRight w:val="0"/>
          <w:marTop w:val="0"/>
          <w:marBottom w:val="0"/>
          <w:divBdr>
            <w:top w:val="none" w:sz="0" w:space="0" w:color="auto"/>
            <w:left w:val="none" w:sz="0" w:space="0" w:color="auto"/>
            <w:bottom w:val="none" w:sz="0" w:space="0" w:color="auto"/>
            <w:right w:val="none" w:sz="0" w:space="0" w:color="auto"/>
          </w:divBdr>
        </w:div>
        <w:div w:id="733509588">
          <w:marLeft w:val="0"/>
          <w:marRight w:val="0"/>
          <w:marTop w:val="0"/>
          <w:marBottom w:val="0"/>
          <w:divBdr>
            <w:top w:val="none" w:sz="0" w:space="0" w:color="auto"/>
            <w:left w:val="none" w:sz="0" w:space="0" w:color="auto"/>
            <w:bottom w:val="none" w:sz="0" w:space="0" w:color="auto"/>
            <w:right w:val="none" w:sz="0" w:space="0" w:color="auto"/>
          </w:divBdr>
        </w:div>
        <w:div w:id="902064919">
          <w:marLeft w:val="0"/>
          <w:marRight w:val="0"/>
          <w:marTop w:val="0"/>
          <w:marBottom w:val="0"/>
          <w:divBdr>
            <w:top w:val="none" w:sz="0" w:space="0" w:color="auto"/>
            <w:left w:val="none" w:sz="0" w:space="0" w:color="auto"/>
            <w:bottom w:val="none" w:sz="0" w:space="0" w:color="auto"/>
            <w:right w:val="none" w:sz="0" w:space="0" w:color="auto"/>
          </w:divBdr>
        </w:div>
        <w:div w:id="1920140790">
          <w:marLeft w:val="0"/>
          <w:marRight w:val="0"/>
          <w:marTop w:val="0"/>
          <w:marBottom w:val="0"/>
          <w:divBdr>
            <w:top w:val="none" w:sz="0" w:space="0" w:color="auto"/>
            <w:left w:val="none" w:sz="0" w:space="0" w:color="auto"/>
            <w:bottom w:val="none" w:sz="0" w:space="0" w:color="auto"/>
            <w:right w:val="none" w:sz="0" w:space="0" w:color="auto"/>
          </w:divBdr>
        </w:div>
        <w:div w:id="1240292049">
          <w:marLeft w:val="0"/>
          <w:marRight w:val="0"/>
          <w:marTop w:val="0"/>
          <w:marBottom w:val="0"/>
          <w:divBdr>
            <w:top w:val="none" w:sz="0" w:space="0" w:color="auto"/>
            <w:left w:val="none" w:sz="0" w:space="0" w:color="auto"/>
            <w:bottom w:val="none" w:sz="0" w:space="0" w:color="auto"/>
            <w:right w:val="none" w:sz="0" w:space="0" w:color="auto"/>
          </w:divBdr>
        </w:div>
        <w:div w:id="374232524">
          <w:marLeft w:val="0"/>
          <w:marRight w:val="0"/>
          <w:marTop w:val="0"/>
          <w:marBottom w:val="0"/>
          <w:divBdr>
            <w:top w:val="none" w:sz="0" w:space="0" w:color="auto"/>
            <w:left w:val="none" w:sz="0" w:space="0" w:color="auto"/>
            <w:bottom w:val="none" w:sz="0" w:space="0" w:color="auto"/>
            <w:right w:val="none" w:sz="0" w:space="0" w:color="auto"/>
          </w:divBdr>
        </w:div>
        <w:div w:id="56842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2020-04-26T12:17:00Z</dcterms:created>
  <dcterms:modified xsi:type="dcterms:W3CDTF">2020-04-26T12:17:00Z</dcterms:modified>
</cp:coreProperties>
</file>