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CF" w:rsidRPr="004A40CF" w:rsidRDefault="004A40CF" w:rsidP="004A40CF">
      <w:pPr>
        <w:jc w:val="center"/>
        <w:rPr>
          <w:sz w:val="32"/>
          <w:szCs w:val="32"/>
        </w:rPr>
      </w:pPr>
      <w:bookmarkStart w:id="0" w:name="Anchor1"/>
      <w:bookmarkEnd w:id="0"/>
      <w:r w:rsidRPr="004A40CF">
        <w:rPr>
          <w:sz w:val="32"/>
          <w:szCs w:val="32"/>
          <w:rtl/>
        </w:rPr>
        <w:t xml:space="preserve">الطعن رقم 1199 </w:t>
      </w:r>
      <w:bookmarkStart w:id="1" w:name="_GoBack"/>
      <w:bookmarkEnd w:id="1"/>
      <w:r w:rsidRPr="004A40CF">
        <w:rPr>
          <w:sz w:val="32"/>
          <w:szCs w:val="32"/>
          <w:rtl/>
        </w:rPr>
        <w:t xml:space="preserve">لسنة </w:t>
      </w:r>
      <w:r w:rsidRPr="004A40CF">
        <w:rPr>
          <w:sz w:val="32"/>
          <w:szCs w:val="32"/>
        </w:rPr>
        <w:t>2013</w:t>
      </w:r>
    </w:p>
    <w:p w:rsidR="004A40CF" w:rsidRPr="004A40CF" w:rsidRDefault="004A40CF" w:rsidP="004A40CF">
      <w:pPr>
        <w:rPr>
          <w:sz w:val="32"/>
          <w:szCs w:val="32"/>
        </w:rPr>
      </w:pPr>
      <w:bookmarkStart w:id="2" w:name="Anchor8"/>
      <w:bookmarkEnd w:id="2"/>
      <w:r w:rsidRPr="004A40CF">
        <w:rPr>
          <w:sz w:val="32"/>
          <w:szCs w:val="32"/>
          <w:rtl/>
        </w:rPr>
        <w:t>هيئة المحكمة</w:t>
      </w:r>
      <w:r w:rsidRPr="004A40CF">
        <w:rPr>
          <w:sz w:val="32"/>
          <w:szCs w:val="32"/>
        </w:rPr>
        <w:t xml:space="preserve">: </w:t>
      </w:r>
      <w:r w:rsidRPr="004A40CF">
        <w:rPr>
          <w:sz w:val="32"/>
          <w:szCs w:val="32"/>
          <w:rtl/>
        </w:rPr>
        <w:t>برئاسة السيد المستشار يونس محمد الياسين وكيل المحكمة وعضوية السادة المستشارين محمد أحمد رشدي وإبراهيم الضبع وهشام فراويلة وثروت نصر الدين</w:t>
      </w:r>
    </w:p>
    <w:bookmarkStart w:id="3" w:name="Anchor25"/>
    <w:bookmarkEnd w:id="3"/>
    <w:p w:rsidR="004A40CF" w:rsidRPr="004A40CF" w:rsidRDefault="004A40CF" w:rsidP="004A40CF">
      <w:pPr>
        <w:rPr>
          <w:sz w:val="32"/>
          <w:szCs w:val="32"/>
        </w:rPr>
      </w:pPr>
      <w:r w:rsidRPr="004A40CF">
        <w:rPr>
          <w:sz w:val="32"/>
          <w:szCs w:val="32"/>
        </w:rPr>
        <w:fldChar w:fldCharType="begin"/>
      </w:r>
      <w:r w:rsidRPr="004A40CF">
        <w:rPr>
          <w:sz w:val="32"/>
          <w:szCs w:val="32"/>
        </w:rPr>
        <w:instrText xml:space="preserve"> HYPERLINK "http://www.law.gov.kw/KWT_CC-Ar/00_2014/00_%D8%A7%D9%84%D8%AF%D8%A7%D8%A6%D8%B1%D8%A9%20%D8%A7%D9%84%D8%AA%D8%AC%D8%A7%D8%B1%D9%8A%D8%A9/KWT-CC-Ar_2014-04-28_01199_Taan.html" \l "TM2014_1199_1" </w:instrText>
      </w:r>
      <w:r w:rsidRPr="004A40CF">
        <w:rPr>
          <w:sz w:val="32"/>
          <w:szCs w:val="32"/>
        </w:rPr>
        <w:fldChar w:fldCharType="separate"/>
      </w:r>
      <w:r w:rsidRPr="004A40CF">
        <w:rPr>
          <w:rStyle w:val="Hyperlink"/>
          <w:sz w:val="32"/>
          <w:szCs w:val="32"/>
        </w:rPr>
        <w:t xml:space="preserve">1 – </w:t>
      </w:r>
      <w:r w:rsidRPr="004A40CF">
        <w:rPr>
          <w:rStyle w:val="Hyperlink"/>
          <w:sz w:val="32"/>
          <w:szCs w:val="32"/>
          <w:rtl/>
        </w:rPr>
        <w:t>ان لمحكمة الموضوع استخلاص الطرف الذي أخل بالتزامه التعاقدي متى كان استخلاصها سائغا</w:t>
      </w:r>
      <w:r w:rsidRPr="004A40CF">
        <w:rPr>
          <w:rStyle w:val="Hyperlink"/>
          <w:sz w:val="32"/>
          <w:szCs w:val="32"/>
        </w:rPr>
        <w:t>.</w:t>
      </w:r>
      <w:r w:rsidRPr="004A40CF">
        <w:rPr>
          <w:sz w:val="32"/>
          <w:szCs w:val="32"/>
        </w:rPr>
        <w:fldChar w:fldCharType="end"/>
      </w:r>
    </w:p>
    <w:bookmarkStart w:id="4" w:name="Anchor36"/>
    <w:bookmarkEnd w:id="4"/>
    <w:p w:rsidR="004A40CF" w:rsidRPr="004A40CF" w:rsidRDefault="004A40CF" w:rsidP="004A40CF">
      <w:pPr>
        <w:rPr>
          <w:sz w:val="32"/>
          <w:szCs w:val="32"/>
        </w:rPr>
      </w:pPr>
      <w:r w:rsidRPr="004A40CF">
        <w:rPr>
          <w:sz w:val="32"/>
          <w:szCs w:val="32"/>
        </w:rPr>
        <w:fldChar w:fldCharType="begin"/>
      </w:r>
      <w:r w:rsidRPr="004A40CF">
        <w:rPr>
          <w:sz w:val="32"/>
          <w:szCs w:val="32"/>
        </w:rPr>
        <w:instrText xml:space="preserve"> HYPERLINK "http://www.law.gov.kw/KWT_CC-Ar/00_2014/00_%D8%A7%D9%84%D8%AF%D8%A7%D8%A6%D8%B1%D8%A9%20%D8%A7%D9%84%D8%AA%D8%AC%D8%A7%D8%B1%D9%8A%D8%A9/KWT-CC-Ar_2014-04-28_01199_Taan.html" \l "TM2014_1199_2" </w:instrText>
      </w:r>
      <w:r w:rsidRPr="004A40CF">
        <w:rPr>
          <w:sz w:val="32"/>
          <w:szCs w:val="32"/>
        </w:rPr>
        <w:fldChar w:fldCharType="separate"/>
      </w:r>
      <w:r w:rsidRPr="004A40CF">
        <w:rPr>
          <w:rStyle w:val="Hyperlink"/>
          <w:sz w:val="32"/>
          <w:szCs w:val="32"/>
        </w:rPr>
        <w:t xml:space="preserve">2 – </w:t>
      </w:r>
      <w:r w:rsidRPr="004A40CF">
        <w:rPr>
          <w:rStyle w:val="Hyperlink"/>
          <w:sz w:val="32"/>
          <w:szCs w:val="32"/>
          <w:rtl/>
        </w:rPr>
        <w:t>ان لمحكمة الموضوع تقدير عمل الخبير والموازنة بين الأدلة وأخذ ما تطمئن اليه منها واطراح ما عداه</w:t>
      </w:r>
      <w:r w:rsidRPr="004A40CF">
        <w:rPr>
          <w:rStyle w:val="Hyperlink"/>
          <w:sz w:val="32"/>
          <w:szCs w:val="32"/>
        </w:rPr>
        <w:t>.</w:t>
      </w:r>
      <w:r w:rsidRPr="004A40CF">
        <w:rPr>
          <w:sz w:val="32"/>
          <w:szCs w:val="32"/>
        </w:rPr>
        <w:fldChar w:fldCharType="end"/>
      </w:r>
    </w:p>
    <w:bookmarkStart w:id="5" w:name="Anchor48"/>
    <w:bookmarkEnd w:id="5"/>
    <w:p w:rsidR="004A40CF" w:rsidRPr="004A40CF" w:rsidRDefault="004A40CF" w:rsidP="004A40CF">
      <w:pPr>
        <w:rPr>
          <w:sz w:val="32"/>
          <w:szCs w:val="32"/>
        </w:rPr>
      </w:pPr>
      <w:r w:rsidRPr="004A40CF">
        <w:rPr>
          <w:sz w:val="32"/>
          <w:szCs w:val="32"/>
        </w:rPr>
        <w:fldChar w:fldCharType="begin"/>
      </w:r>
      <w:r w:rsidRPr="004A40CF">
        <w:rPr>
          <w:sz w:val="32"/>
          <w:szCs w:val="32"/>
        </w:rPr>
        <w:instrText xml:space="preserve"> HYPERLINK "http://www.law.gov.kw/KWT_CC-Ar/00_2014/00_%D8%A7%D9%84%D8%AF%D8%A7%D8%A6%D8%B1%D8%A9%20%D8%A7%D9%84%D8%AA%D8%AC%D8%A7%D8%B1%D9%8A%D8%A9/KWT-CC-Ar_2014-04-28_01199_Taan.html" \l "TM2014_1199_3" </w:instrText>
      </w:r>
      <w:r w:rsidRPr="004A40CF">
        <w:rPr>
          <w:sz w:val="32"/>
          <w:szCs w:val="32"/>
        </w:rPr>
        <w:fldChar w:fldCharType="separate"/>
      </w:r>
      <w:r w:rsidRPr="004A40CF">
        <w:rPr>
          <w:rStyle w:val="Hyperlink"/>
          <w:sz w:val="32"/>
          <w:szCs w:val="32"/>
        </w:rPr>
        <w:t xml:space="preserve">3 – </w:t>
      </w:r>
      <w:r w:rsidRPr="004A40CF">
        <w:rPr>
          <w:rStyle w:val="Hyperlink"/>
          <w:sz w:val="32"/>
          <w:szCs w:val="32"/>
          <w:rtl/>
        </w:rPr>
        <w:t>ان للمحكمة سلطة تفسير العقود والاتفاقات واستخلاص حقيقة ما اتفق عليه الطرفان ما دامت تقيم قضاءها على اسباب سائغة</w:t>
      </w:r>
      <w:r w:rsidRPr="004A40CF">
        <w:rPr>
          <w:rStyle w:val="Hyperlink"/>
          <w:sz w:val="32"/>
          <w:szCs w:val="32"/>
        </w:rPr>
        <w:t>.</w:t>
      </w:r>
      <w:r w:rsidRPr="004A40CF">
        <w:rPr>
          <w:sz w:val="32"/>
          <w:szCs w:val="32"/>
        </w:rPr>
        <w:fldChar w:fldCharType="end"/>
      </w:r>
    </w:p>
    <w:bookmarkStart w:id="6" w:name="Anchor60"/>
    <w:bookmarkEnd w:id="6"/>
    <w:p w:rsidR="004A40CF" w:rsidRPr="004A40CF" w:rsidRDefault="004A40CF" w:rsidP="004A40CF">
      <w:pPr>
        <w:rPr>
          <w:sz w:val="32"/>
          <w:szCs w:val="32"/>
        </w:rPr>
      </w:pPr>
      <w:r w:rsidRPr="004A40CF">
        <w:rPr>
          <w:sz w:val="32"/>
          <w:szCs w:val="32"/>
        </w:rPr>
        <w:fldChar w:fldCharType="begin"/>
      </w:r>
      <w:r w:rsidRPr="004A40CF">
        <w:rPr>
          <w:sz w:val="32"/>
          <w:szCs w:val="32"/>
        </w:rPr>
        <w:instrText xml:space="preserve"> HYPERLINK "http://www.law.gov.kw/KWT_CC-Ar/00_2014/00_%D8%A7%D9%84%D8%AF%D8%A7%D8%A6%D8%B1%D8%A9%20%D8%A7%D9%84%D8%AA%D8%AC%D8%A7%D8%B1%D9%8A%D8%A9/KWT-CC-Ar_2014-04-28_01199_Taan.html" \l "TM2014_1199_4" </w:instrText>
      </w:r>
      <w:r w:rsidRPr="004A40CF">
        <w:rPr>
          <w:sz w:val="32"/>
          <w:szCs w:val="32"/>
        </w:rPr>
        <w:fldChar w:fldCharType="separate"/>
      </w:r>
      <w:r w:rsidRPr="004A40CF">
        <w:rPr>
          <w:rStyle w:val="Hyperlink"/>
          <w:sz w:val="32"/>
          <w:szCs w:val="32"/>
        </w:rPr>
        <w:t xml:space="preserve">4 – </w:t>
      </w:r>
      <w:r w:rsidRPr="004A40CF">
        <w:rPr>
          <w:rStyle w:val="Hyperlink"/>
          <w:sz w:val="32"/>
          <w:szCs w:val="32"/>
          <w:rtl/>
        </w:rPr>
        <w:t>ان بيع الشركة المطعون ضدها لموجودات الطاعن بعد تحقق انخفاض القيمة السوقية للأسهم عن النسبة المتفق عليها قد تم صحيحا اعمالا لمبدأ الضمان المتفق عليه بين الطرفين بالعقد محل النزاع وكان ذلك قبل صور تعميم البنك المركزي الذي حظر بيع الأسهم</w:t>
      </w:r>
      <w:r w:rsidRPr="004A40CF">
        <w:rPr>
          <w:rStyle w:val="Hyperlink"/>
          <w:sz w:val="32"/>
          <w:szCs w:val="32"/>
        </w:rPr>
        <w:t>.</w:t>
      </w:r>
      <w:r w:rsidRPr="004A40CF">
        <w:rPr>
          <w:sz w:val="32"/>
          <w:szCs w:val="32"/>
        </w:rPr>
        <w:fldChar w:fldCharType="end"/>
      </w:r>
      <w:r w:rsidRPr="004A40CF">
        <w:rPr>
          <w:sz w:val="32"/>
          <w:szCs w:val="32"/>
        </w:rPr>
        <w:br/>
      </w:r>
      <w:r w:rsidRPr="004A40CF">
        <w:rPr>
          <w:sz w:val="32"/>
          <w:szCs w:val="32"/>
        </w:rPr>
        <w:br/>
      </w:r>
      <w:r w:rsidRPr="004A40CF">
        <w:rPr>
          <w:sz w:val="32"/>
          <w:szCs w:val="32"/>
          <w:u w:val="single"/>
          <w:rtl/>
        </w:rPr>
        <w:t>ملاحظة</w:t>
      </w:r>
      <w:r w:rsidRPr="004A40CF">
        <w:rPr>
          <w:sz w:val="32"/>
          <w:szCs w:val="32"/>
          <w:u w:val="single"/>
        </w:rPr>
        <w:t xml:space="preserve"> :</w:t>
      </w:r>
      <w:r w:rsidRPr="004A40CF">
        <w:rPr>
          <w:sz w:val="32"/>
          <w:szCs w:val="32"/>
        </w:rPr>
        <w:br/>
      </w:r>
      <w:r w:rsidRPr="004A40C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A40CF" w:rsidRPr="004A40CF" w:rsidRDefault="004A40CF" w:rsidP="004A40CF">
      <w:pPr>
        <w:rPr>
          <w:sz w:val="32"/>
          <w:szCs w:val="32"/>
        </w:rPr>
      </w:pPr>
      <w:bookmarkStart w:id="7" w:name="Anchor84"/>
      <w:bookmarkEnd w:id="7"/>
      <w:r w:rsidRPr="004A40CF">
        <w:rPr>
          <w:b/>
          <w:bCs/>
          <w:sz w:val="32"/>
          <w:szCs w:val="32"/>
          <w:rtl/>
        </w:rPr>
        <w:t>المحكمة</w:t>
      </w:r>
    </w:p>
    <w:p w:rsidR="004A40CF" w:rsidRPr="004A40CF" w:rsidRDefault="004A40CF" w:rsidP="004A40CF">
      <w:pPr>
        <w:rPr>
          <w:sz w:val="32"/>
          <w:szCs w:val="32"/>
        </w:rPr>
      </w:pPr>
      <w:bookmarkStart w:id="8" w:name="Anchor85"/>
      <w:bookmarkEnd w:id="8"/>
      <w:r w:rsidRPr="004A40CF">
        <w:rPr>
          <w:sz w:val="32"/>
          <w:szCs w:val="32"/>
          <w:rtl/>
        </w:rPr>
        <w:t>بعد الاطلاع على الأوراق ، والمداولة</w:t>
      </w:r>
      <w:r w:rsidRPr="004A40CF">
        <w:rPr>
          <w:sz w:val="32"/>
          <w:szCs w:val="32"/>
        </w:rPr>
        <w:t>.</w:t>
      </w:r>
    </w:p>
    <w:p w:rsidR="004A40CF" w:rsidRPr="004A40CF" w:rsidRDefault="004A40CF" w:rsidP="004A40CF">
      <w:pPr>
        <w:rPr>
          <w:sz w:val="32"/>
          <w:szCs w:val="32"/>
        </w:rPr>
      </w:pPr>
      <w:bookmarkStart w:id="9" w:name="Anchor90"/>
      <w:bookmarkStart w:id="10" w:name="TM2014_1199_1"/>
      <w:bookmarkEnd w:id="9"/>
      <w:bookmarkEnd w:id="10"/>
      <w:r w:rsidRPr="004A40CF">
        <w:rPr>
          <w:b/>
          <w:bCs/>
          <w:sz w:val="32"/>
          <w:szCs w:val="32"/>
          <w:rtl/>
        </w:rPr>
        <w:t>لما كان لمحكمة الموضوع استخلاص الطرف الذي أخل بالتزامه التعاقدي متى كان استخلاصها سائغاً</w:t>
      </w:r>
    </w:p>
    <w:p w:rsidR="004A40CF" w:rsidRPr="004A40CF" w:rsidRDefault="004A40CF" w:rsidP="004A40CF">
      <w:pPr>
        <w:rPr>
          <w:sz w:val="32"/>
          <w:szCs w:val="32"/>
        </w:rPr>
      </w:pPr>
      <w:bookmarkStart w:id="11" w:name="Anchor100"/>
      <w:bookmarkStart w:id="12" w:name="TM2014_1199_2"/>
      <w:bookmarkEnd w:id="11"/>
      <w:bookmarkEnd w:id="12"/>
      <w:r w:rsidRPr="004A40CF">
        <w:rPr>
          <w:b/>
          <w:bCs/>
          <w:sz w:val="32"/>
          <w:szCs w:val="32"/>
          <w:rtl/>
        </w:rPr>
        <w:t>وان لها السلطة في تقدير عمل الخبير وفي الموازنة بين الأدلة التي تقدم في الدعوى للأخذ بما تطمئن إليه وإطراح ما عداه منها</w:t>
      </w:r>
    </w:p>
    <w:p w:rsidR="004A40CF" w:rsidRPr="004A40CF" w:rsidRDefault="004A40CF" w:rsidP="004A40CF">
      <w:pPr>
        <w:rPr>
          <w:sz w:val="32"/>
          <w:szCs w:val="32"/>
        </w:rPr>
      </w:pPr>
      <w:bookmarkStart w:id="13" w:name="Anchor112"/>
      <w:bookmarkStart w:id="14" w:name="TM2014_1199_3"/>
      <w:bookmarkEnd w:id="13"/>
      <w:bookmarkEnd w:id="14"/>
      <w:r w:rsidRPr="004A40CF">
        <w:rPr>
          <w:b/>
          <w:bCs/>
          <w:sz w:val="32"/>
          <w:szCs w:val="32"/>
          <w:rtl/>
        </w:rPr>
        <w:t>ولها السلطة في تفسير العقود والاتفاقات واستخلاص حقيقة ما أتفق عليه الطرفان مادامت تقيم قضاءها على اسباب سائغة</w:t>
      </w:r>
      <w:r w:rsidRPr="004A40CF">
        <w:rPr>
          <w:sz w:val="32"/>
          <w:szCs w:val="32"/>
          <w:rtl/>
        </w:rPr>
        <w:t xml:space="preserve"> وأن على الخصوم تقديم الدليل على صحة ما يتمسكون به من دفاع </w:t>
      </w:r>
      <w:bookmarkStart w:id="15" w:name="TM2014_1199_4"/>
      <w:bookmarkEnd w:id="15"/>
      <w:r w:rsidRPr="004A40CF">
        <w:rPr>
          <w:b/>
          <w:bCs/>
          <w:sz w:val="32"/>
          <w:szCs w:val="32"/>
          <w:rtl/>
        </w:rPr>
        <w:t xml:space="preserve">وكان الحكم المطعون فيه المؤيد والمكمل </w:t>
      </w:r>
      <w:r w:rsidRPr="004A40CF">
        <w:rPr>
          <w:b/>
          <w:bCs/>
          <w:sz w:val="32"/>
          <w:szCs w:val="32"/>
          <w:rtl/>
        </w:rPr>
        <w:lastRenderedPageBreak/>
        <w:t>للحكم الابتدائي قد اقام قضاءه برفض الدعوى على ما خلص إليه من تقرير الخبير والبند السابع من عقود القرض المبرم بين الطرفين والتي تضمنت السماح للشركة المطعون ضدها بتسييل موجودات الطاعن حال انخفاض القيمة السوقية للأسهم عن 150% من حجم التسهيلات المستحقة وأحقيتها في تصفية محفظة الطاعن في أي وقت دون الرجوع إليه وعلى هذا قامت الشركة المطعون ضدها ببيعها والتحفظ على حصيلة البيع وفاءً لدينيها الثابت بالعقود الثلاثة بعد تحقق انخفاض القيمة السوقية للأسهم عن النسبة المتفق عليها وانتهى الحكم من ذلك أن البيع قد تم وفقاً للمتفق عليه وإعمالاً لمبدأ الضمان المتفق عليه بين الطرفين بالعقد محل النزاع وكان ذلك قبل صدور تعميم البنك المركزي الذي حظر بيع الأسهم وبالتالي نفي أي خطأ يمكن اسناده للشركة المطعون ضدها فيما قامت به من بيع السهم ورتب الحكم على ذلك قضاءه بتأييد الحكم الصادر برفض الدعوى، وكان ذلك منه استخلاصاً سائغاً له معينه من الأوراق بما يكفي لحمله ويؤدي إلى النتيجة التي انتهى إليها</w:t>
      </w:r>
      <w:r w:rsidRPr="004A40CF">
        <w:rPr>
          <w:sz w:val="32"/>
          <w:szCs w:val="32"/>
          <w:rtl/>
        </w:rPr>
        <w:t xml:space="preserve"> ومن ثم فإن ما يثيره الطاعن بسببي الطعن والذي يدور حول تعييب الحكم في هذا الاستخلاص لا يعدو ان يكون جدلاً فيما تستقل محكمة الموضوع بتقديره لا تجوز إثارته أمام هذه المحكمة ومن ثم غير مقبول ويضحى الطعن مقاماً على خلاف الأسباب المبينة في المادة 152 من قانون المرافعات، ويتعين عدم قبوله عملاً بالمادة 154/5 من ذات القانون</w:t>
      </w:r>
      <w:r w:rsidRPr="004A40CF">
        <w:rPr>
          <w:sz w:val="32"/>
          <w:szCs w:val="32"/>
        </w:rPr>
        <w:t xml:space="preserve">. </w:t>
      </w:r>
    </w:p>
    <w:p w:rsidR="004A40CF" w:rsidRPr="004A40CF" w:rsidRDefault="004A40CF" w:rsidP="004A40CF">
      <w:pPr>
        <w:rPr>
          <w:sz w:val="32"/>
          <w:szCs w:val="32"/>
        </w:rPr>
      </w:pPr>
      <w:bookmarkStart w:id="16" w:name="Anchor248"/>
      <w:bookmarkEnd w:id="16"/>
      <w:r w:rsidRPr="004A40CF">
        <w:rPr>
          <w:b/>
          <w:bCs/>
          <w:sz w:val="32"/>
          <w:szCs w:val="32"/>
          <w:rtl/>
        </w:rPr>
        <w:t>لذلك</w:t>
      </w:r>
    </w:p>
    <w:p w:rsidR="004A40CF" w:rsidRPr="004A40CF" w:rsidRDefault="004A40CF" w:rsidP="004A40CF">
      <w:pPr>
        <w:rPr>
          <w:sz w:val="32"/>
          <w:szCs w:val="32"/>
        </w:rPr>
      </w:pPr>
      <w:bookmarkStart w:id="17" w:name="Anchor249"/>
      <w:bookmarkEnd w:id="17"/>
      <w:r w:rsidRPr="004A40CF">
        <w:rPr>
          <w:sz w:val="32"/>
          <w:szCs w:val="32"/>
          <w:rtl/>
        </w:rPr>
        <w:t xml:space="preserve">قررت المحكمة </w:t>
      </w:r>
      <w:r w:rsidRPr="004A40CF">
        <w:rPr>
          <w:sz w:val="32"/>
          <w:szCs w:val="32"/>
        </w:rPr>
        <w:t xml:space="preserve">– </w:t>
      </w:r>
      <w:r w:rsidRPr="004A40CF">
        <w:rPr>
          <w:sz w:val="32"/>
          <w:szCs w:val="32"/>
          <w:rtl/>
        </w:rPr>
        <w:t>في غرفة المشورة - عدم قبول الطعن وألزمت الطاعن المصروفات وعشرين ديناراً مقابل أتعاب المحاماة مع مصادرة الكفالة</w:t>
      </w:r>
      <w:r w:rsidRPr="004A40CF">
        <w:rPr>
          <w:sz w:val="32"/>
          <w:szCs w:val="32"/>
        </w:rPr>
        <w:t>.</w:t>
      </w:r>
    </w:p>
    <w:p w:rsidR="004A40CF" w:rsidRPr="004A40CF" w:rsidRDefault="004A40CF" w:rsidP="004A40CF">
      <w:pPr>
        <w:rPr>
          <w:sz w:val="32"/>
          <w:szCs w:val="32"/>
        </w:rPr>
      </w:pPr>
    </w:p>
    <w:p w:rsidR="004A40CF" w:rsidRPr="004A40CF" w:rsidRDefault="004A40CF" w:rsidP="004A40CF">
      <w:pPr>
        <w:rPr>
          <w:sz w:val="32"/>
          <w:szCs w:val="32"/>
        </w:rPr>
      </w:pPr>
      <w:bookmarkStart w:id="18" w:name="Anchor264"/>
      <w:bookmarkEnd w:id="18"/>
      <w:r w:rsidRPr="004A40CF">
        <w:rPr>
          <w:sz w:val="32"/>
          <w:szCs w:val="32"/>
        </w:rPr>
        <w:t>* * *</w:t>
      </w:r>
    </w:p>
    <w:p w:rsidR="00D32E0F" w:rsidRPr="004A40CF" w:rsidRDefault="00D32E0F">
      <w:pPr>
        <w:rPr>
          <w:sz w:val="32"/>
          <w:szCs w:val="32"/>
        </w:rPr>
      </w:pPr>
    </w:p>
    <w:sectPr w:rsidR="00D32E0F" w:rsidRPr="004A40C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B4"/>
    <w:rsid w:val="0003272B"/>
    <w:rsid w:val="003842B4"/>
    <w:rsid w:val="004A40CF"/>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0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0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47445">
      <w:bodyDiv w:val="1"/>
      <w:marLeft w:val="0"/>
      <w:marRight w:val="0"/>
      <w:marTop w:val="0"/>
      <w:marBottom w:val="0"/>
      <w:divBdr>
        <w:top w:val="none" w:sz="0" w:space="0" w:color="auto"/>
        <w:left w:val="none" w:sz="0" w:space="0" w:color="auto"/>
        <w:bottom w:val="none" w:sz="0" w:space="0" w:color="auto"/>
        <w:right w:val="none" w:sz="0" w:space="0" w:color="auto"/>
      </w:divBdr>
      <w:divsChild>
        <w:div w:id="1209341998">
          <w:marLeft w:val="0"/>
          <w:marRight w:val="0"/>
          <w:marTop w:val="0"/>
          <w:marBottom w:val="0"/>
          <w:divBdr>
            <w:top w:val="none" w:sz="0" w:space="0" w:color="auto"/>
            <w:left w:val="none" w:sz="0" w:space="0" w:color="auto"/>
            <w:bottom w:val="none" w:sz="0" w:space="0" w:color="auto"/>
            <w:right w:val="none" w:sz="0" w:space="0" w:color="auto"/>
          </w:divBdr>
        </w:div>
        <w:div w:id="637536277">
          <w:marLeft w:val="0"/>
          <w:marRight w:val="0"/>
          <w:marTop w:val="0"/>
          <w:marBottom w:val="0"/>
          <w:divBdr>
            <w:top w:val="none" w:sz="0" w:space="0" w:color="auto"/>
            <w:left w:val="none" w:sz="0" w:space="0" w:color="auto"/>
            <w:bottom w:val="none" w:sz="0" w:space="0" w:color="auto"/>
            <w:right w:val="none" w:sz="0" w:space="0" w:color="auto"/>
          </w:divBdr>
        </w:div>
        <w:div w:id="323703597">
          <w:marLeft w:val="0"/>
          <w:marRight w:val="0"/>
          <w:marTop w:val="0"/>
          <w:marBottom w:val="0"/>
          <w:divBdr>
            <w:top w:val="none" w:sz="0" w:space="0" w:color="auto"/>
            <w:left w:val="none" w:sz="0" w:space="0" w:color="auto"/>
            <w:bottom w:val="none" w:sz="0" w:space="0" w:color="auto"/>
            <w:right w:val="none" w:sz="0" w:space="0" w:color="auto"/>
          </w:divBdr>
        </w:div>
        <w:div w:id="275598392">
          <w:marLeft w:val="0"/>
          <w:marRight w:val="0"/>
          <w:marTop w:val="0"/>
          <w:marBottom w:val="0"/>
          <w:divBdr>
            <w:top w:val="none" w:sz="0" w:space="0" w:color="auto"/>
            <w:left w:val="none" w:sz="0" w:space="0" w:color="auto"/>
            <w:bottom w:val="none" w:sz="0" w:space="0" w:color="auto"/>
            <w:right w:val="none" w:sz="0" w:space="0" w:color="auto"/>
          </w:divBdr>
        </w:div>
        <w:div w:id="432869448">
          <w:marLeft w:val="0"/>
          <w:marRight w:val="0"/>
          <w:marTop w:val="0"/>
          <w:marBottom w:val="0"/>
          <w:divBdr>
            <w:top w:val="none" w:sz="0" w:space="0" w:color="auto"/>
            <w:left w:val="none" w:sz="0" w:space="0" w:color="auto"/>
            <w:bottom w:val="none" w:sz="0" w:space="0" w:color="auto"/>
            <w:right w:val="none" w:sz="0" w:space="0" w:color="auto"/>
          </w:divBdr>
        </w:div>
        <w:div w:id="509878827">
          <w:marLeft w:val="0"/>
          <w:marRight w:val="0"/>
          <w:marTop w:val="0"/>
          <w:marBottom w:val="0"/>
          <w:divBdr>
            <w:top w:val="none" w:sz="0" w:space="0" w:color="auto"/>
            <w:left w:val="none" w:sz="0" w:space="0" w:color="auto"/>
            <w:bottom w:val="none" w:sz="0" w:space="0" w:color="auto"/>
            <w:right w:val="none" w:sz="0" w:space="0" w:color="auto"/>
          </w:divBdr>
        </w:div>
        <w:div w:id="1478838375">
          <w:marLeft w:val="0"/>
          <w:marRight w:val="0"/>
          <w:marTop w:val="0"/>
          <w:marBottom w:val="0"/>
          <w:divBdr>
            <w:top w:val="none" w:sz="0" w:space="0" w:color="auto"/>
            <w:left w:val="none" w:sz="0" w:space="0" w:color="auto"/>
            <w:bottom w:val="none" w:sz="0" w:space="0" w:color="auto"/>
            <w:right w:val="none" w:sz="0" w:space="0" w:color="auto"/>
          </w:divBdr>
        </w:div>
        <w:div w:id="575675824">
          <w:marLeft w:val="0"/>
          <w:marRight w:val="0"/>
          <w:marTop w:val="0"/>
          <w:marBottom w:val="0"/>
          <w:divBdr>
            <w:top w:val="none" w:sz="0" w:space="0" w:color="auto"/>
            <w:left w:val="none" w:sz="0" w:space="0" w:color="auto"/>
            <w:bottom w:val="none" w:sz="0" w:space="0" w:color="auto"/>
            <w:right w:val="none" w:sz="0" w:space="0" w:color="auto"/>
          </w:divBdr>
        </w:div>
        <w:div w:id="63071968">
          <w:marLeft w:val="0"/>
          <w:marRight w:val="0"/>
          <w:marTop w:val="0"/>
          <w:marBottom w:val="0"/>
          <w:divBdr>
            <w:top w:val="none" w:sz="0" w:space="0" w:color="auto"/>
            <w:left w:val="none" w:sz="0" w:space="0" w:color="auto"/>
            <w:bottom w:val="none" w:sz="0" w:space="0" w:color="auto"/>
            <w:right w:val="none" w:sz="0" w:space="0" w:color="auto"/>
          </w:divBdr>
        </w:div>
        <w:div w:id="1157959852">
          <w:marLeft w:val="0"/>
          <w:marRight w:val="0"/>
          <w:marTop w:val="0"/>
          <w:marBottom w:val="0"/>
          <w:divBdr>
            <w:top w:val="none" w:sz="0" w:space="0" w:color="auto"/>
            <w:left w:val="none" w:sz="0" w:space="0" w:color="auto"/>
            <w:bottom w:val="none" w:sz="0" w:space="0" w:color="auto"/>
            <w:right w:val="none" w:sz="0" w:space="0" w:color="auto"/>
          </w:divBdr>
        </w:div>
        <w:div w:id="305091685">
          <w:marLeft w:val="0"/>
          <w:marRight w:val="0"/>
          <w:marTop w:val="0"/>
          <w:marBottom w:val="0"/>
          <w:divBdr>
            <w:top w:val="none" w:sz="0" w:space="0" w:color="auto"/>
            <w:left w:val="none" w:sz="0" w:space="0" w:color="auto"/>
            <w:bottom w:val="none" w:sz="0" w:space="0" w:color="auto"/>
            <w:right w:val="none" w:sz="0" w:space="0" w:color="auto"/>
          </w:divBdr>
        </w:div>
        <w:div w:id="906308026">
          <w:marLeft w:val="0"/>
          <w:marRight w:val="0"/>
          <w:marTop w:val="0"/>
          <w:marBottom w:val="0"/>
          <w:divBdr>
            <w:top w:val="none" w:sz="0" w:space="0" w:color="auto"/>
            <w:left w:val="none" w:sz="0" w:space="0" w:color="auto"/>
            <w:bottom w:val="none" w:sz="0" w:space="0" w:color="auto"/>
            <w:right w:val="none" w:sz="0" w:space="0" w:color="auto"/>
          </w:divBdr>
        </w:div>
        <w:div w:id="1444377442">
          <w:marLeft w:val="0"/>
          <w:marRight w:val="0"/>
          <w:marTop w:val="0"/>
          <w:marBottom w:val="0"/>
          <w:divBdr>
            <w:top w:val="none" w:sz="0" w:space="0" w:color="auto"/>
            <w:left w:val="none" w:sz="0" w:space="0" w:color="auto"/>
            <w:bottom w:val="none" w:sz="0" w:space="0" w:color="auto"/>
            <w:right w:val="none" w:sz="0" w:space="0" w:color="auto"/>
          </w:divBdr>
        </w:div>
        <w:div w:id="693699795">
          <w:marLeft w:val="0"/>
          <w:marRight w:val="0"/>
          <w:marTop w:val="0"/>
          <w:marBottom w:val="0"/>
          <w:divBdr>
            <w:top w:val="none" w:sz="0" w:space="0" w:color="auto"/>
            <w:left w:val="none" w:sz="0" w:space="0" w:color="auto"/>
            <w:bottom w:val="none" w:sz="0" w:space="0" w:color="auto"/>
            <w:right w:val="none" w:sz="0" w:space="0" w:color="auto"/>
          </w:divBdr>
        </w:div>
      </w:divsChild>
    </w:div>
    <w:div w:id="1237931697">
      <w:bodyDiv w:val="1"/>
      <w:marLeft w:val="0"/>
      <w:marRight w:val="0"/>
      <w:marTop w:val="0"/>
      <w:marBottom w:val="0"/>
      <w:divBdr>
        <w:top w:val="none" w:sz="0" w:space="0" w:color="auto"/>
        <w:left w:val="none" w:sz="0" w:space="0" w:color="auto"/>
        <w:bottom w:val="none" w:sz="0" w:space="0" w:color="auto"/>
        <w:right w:val="none" w:sz="0" w:space="0" w:color="auto"/>
      </w:divBdr>
      <w:divsChild>
        <w:div w:id="206381972">
          <w:marLeft w:val="0"/>
          <w:marRight w:val="0"/>
          <w:marTop w:val="0"/>
          <w:marBottom w:val="0"/>
          <w:divBdr>
            <w:top w:val="none" w:sz="0" w:space="0" w:color="auto"/>
            <w:left w:val="none" w:sz="0" w:space="0" w:color="auto"/>
            <w:bottom w:val="none" w:sz="0" w:space="0" w:color="auto"/>
            <w:right w:val="none" w:sz="0" w:space="0" w:color="auto"/>
          </w:divBdr>
        </w:div>
        <w:div w:id="1930887359">
          <w:marLeft w:val="0"/>
          <w:marRight w:val="0"/>
          <w:marTop w:val="0"/>
          <w:marBottom w:val="0"/>
          <w:divBdr>
            <w:top w:val="none" w:sz="0" w:space="0" w:color="auto"/>
            <w:left w:val="none" w:sz="0" w:space="0" w:color="auto"/>
            <w:bottom w:val="none" w:sz="0" w:space="0" w:color="auto"/>
            <w:right w:val="none" w:sz="0" w:space="0" w:color="auto"/>
          </w:divBdr>
        </w:div>
        <w:div w:id="440271925">
          <w:marLeft w:val="0"/>
          <w:marRight w:val="0"/>
          <w:marTop w:val="0"/>
          <w:marBottom w:val="0"/>
          <w:divBdr>
            <w:top w:val="none" w:sz="0" w:space="0" w:color="auto"/>
            <w:left w:val="none" w:sz="0" w:space="0" w:color="auto"/>
            <w:bottom w:val="none" w:sz="0" w:space="0" w:color="auto"/>
            <w:right w:val="none" w:sz="0" w:space="0" w:color="auto"/>
          </w:divBdr>
        </w:div>
        <w:div w:id="1675184718">
          <w:marLeft w:val="0"/>
          <w:marRight w:val="0"/>
          <w:marTop w:val="0"/>
          <w:marBottom w:val="0"/>
          <w:divBdr>
            <w:top w:val="none" w:sz="0" w:space="0" w:color="auto"/>
            <w:left w:val="none" w:sz="0" w:space="0" w:color="auto"/>
            <w:bottom w:val="none" w:sz="0" w:space="0" w:color="auto"/>
            <w:right w:val="none" w:sz="0" w:space="0" w:color="auto"/>
          </w:divBdr>
        </w:div>
        <w:div w:id="914433632">
          <w:marLeft w:val="0"/>
          <w:marRight w:val="0"/>
          <w:marTop w:val="0"/>
          <w:marBottom w:val="0"/>
          <w:divBdr>
            <w:top w:val="none" w:sz="0" w:space="0" w:color="auto"/>
            <w:left w:val="none" w:sz="0" w:space="0" w:color="auto"/>
            <w:bottom w:val="none" w:sz="0" w:space="0" w:color="auto"/>
            <w:right w:val="none" w:sz="0" w:space="0" w:color="auto"/>
          </w:divBdr>
        </w:div>
        <w:div w:id="1218659953">
          <w:marLeft w:val="0"/>
          <w:marRight w:val="0"/>
          <w:marTop w:val="0"/>
          <w:marBottom w:val="0"/>
          <w:divBdr>
            <w:top w:val="none" w:sz="0" w:space="0" w:color="auto"/>
            <w:left w:val="none" w:sz="0" w:space="0" w:color="auto"/>
            <w:bottom w:val="none" w:sz="0" w:space="0" w:color="auto"/>
            <w:right w:val="none" w:sz="0" w:space="0" w:color="auto"/>
          </w:divBdr>
        </w:div>
        <w:div w:id="207381993">
          <w:marLeft w:val="0"/>
          <w:marRight w:val="0"/>
          <w:marTop w:val="0"/>
          <w:marBottom w:val="0"/>
          <w:divBdr>
            <w:top w:val="none" w:sz="0" w:space="0" w:color="auto"/>
            <w:left w:val="none" w:sz="0" w:space="0" w:color="auto"/>
            <w:bottom w:val="none" w:sz="0" w:space="0" w:color="auto"/>
            <w:right w:val="none" w:sz="0" w:space="0" w:color="auto"/>
          </w:divBdr>
        </w:div>
        <w:div w:id="1105417785">
          <w:marLeft w:val="0"/>
          <w:marRight w:val="0"/>
          <w:marTop w:val="0"/>
          <w:marBottom w:val="0"/>
          <w:divBdr>
            <w:top w:val="none" w:sz="0" w:space="0" w:color="auto"/>
            <w:left w:val="none" w:sz="0" w:space="0" w:color="auto"/>
            <w:bottom w:val="none" w:sz="0" w:space="0" w:color="auto"/>
            <w:right w:val="none" w:sz="0" w:space="0" w:color="auto"/>
          </w:divBdr>
        </w:div>
        <w:div w:id="2062778210">
          <w:marLeft w:val="0"/>
          <w:marRight w:val="0"/>
          <w:marTop w:val="0"/>
          <w:marBottom w:val="0"/>
          <w:divBdr>
            <w:top w:val="none" w:sz="0" w:space="0" w:color="auto"/>
            <w:left w:val="none" w:sz="0" w:space="0" w:color="auto"/>
            <w:bottom w:val="none" w:sz="0" w:space="0" w:color="auto"/>
            <w:right w:val="none" w:sz="0" w:space="0" w:color="auto"/>
          </w:divBdr>
        </w:div>
        <w:div w:id="2130199511">
          <w:marLeft w:val="0"/>
          <w:marRight w:val="0"/>
          <w:marTop w:val="0"/>
          <w:marBottom w:val="0"/>
          <w:divBdr>
            <w:top w:val="none" w:sz="0" w:space="0" w:color="auto"/>
            <w:left w:val="none" w:sz="0" w:space="0" w:color="auto"/>
            <w:bottom w:val="none" w:sz="0" w:space="0" w:color="auto"/>
            <w:right w:val="none" w:sz="0" w:space="0" w:color="auto"/>
          </w:divBdr>
        </w:div>
        <w:div w:id="852112827">
          <w:marLeft w:val="0"/>
          <w:marRight w:val="0"/>
          <w:marTop w:val="0"/>
          <w:marBottom w:val="0"/>
          <w:divBdr>
            <w:top w:val="none" w:sz="0" w:space="0" w:color="auto"/>
            <w:left w:val="none" w:sz="0" w:space="0" w:color="auto"/>
            <w:bottom w:val="none" w:sz="0" w:space="0" w:color="auto"/>
            <w:right w:val="none" w:sz="0" w:space="0" w:color="auto"/>
          </w:divBdr>
        </w:div>
        <w:div w:id="1460610883">
          <w:marLeft w:val="0"/>
          <w:marRight w:val="0"/>
          <w:marTop w:val="0"/>
          <w:marBottom w:val="0"/>
          <w:divBdr>
            <w:top w:val="none" w:sz="0" w:space="0" w:color="auto"/>
            <w:left w:val="none" w:sz="0" w:space="0" w:color="auto"/>
            <w:bottom w:val="none" w:sz="0" w:space="0" w:color="auto"/>
            <w:right w:val="none" w:sz="0" w:space="0" w:color="auto"/>
          </w:divBdr>
        </w:div>
        <w:div w:id="1498577006">
          <w:marLeft w:val="0"/>
          <w:marRight w:val="0"/>
          <w:marTop w:val="0"/>
          <w:marBottom w:val="0"/>
          <w:divBdr>
            <w:top w:val="none" w:sz="0" w:space="0" w:color="auto"/>
            <w:left w:val="none" w:sz="0" w:space="0" w:color="auto"/>
            <w:bottom w:val="none" w:sz="0" w:space="0" w:color="auto"/>
            <w:right w:val="none" w:sz="0" w:space="0" w:color="auto"/>
          </w:divBdr>
        </w:div>
        <w:div w:id="899100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2020-04-26T12:42:00Z</dcterms:created>
  <dcterms:modified xsi:type="dcterms:W3CDTF">2020-04-26T12:42:00Z</dcterms:modified>
</cp:coreProperties>
</file>