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E4" w:rsidRPr="002754E4" w:rsidRDefault="002754E4" w:rsidP="002754E4">
      <w:pPr>
        <w:jc w:val="center"/>
        <w:rPr>
          <w:sz w:val="32"/>
          <w:szCs w:val="32"/>
        </w:rPr>
      </w:pPr>
      <w:bookmarkStart w:id="0" w:name="Anchor1"/>
      <w:bookmarkEnd w:id="0"/>
      <w:r w:rsidRPr="002754E4">
        <w:rPr>
          <w:sz w:val="32"/>
          <w:szCs w:val="32"/>
          <w:rtl/>
        </w:rPr>
        <w:t xml:space="preserve">الطعن رقم </w:t>
      </w:r>
      <w:bookmarkStart w:id="1" w:name="_GoBack"/>
      <w:bookmarkEnd w:id="1"/>
      <w:r w:rsidRPr="002754E4">
        <w:rPr>
          <w:sz w:val="32"/>
          <w:szCs w:val="32"/>
          <w:rtl/>
        </w:rPr>
        <w:t>1209 و 1279/2012</w:t>
      </w:r>
    </w:p>
    <w:p w:rsidR="002754E4" w:rsidRPr="002754E4" w:rsidRDefault="002754E4" w:rsidP="002754E4">
      <w:pPr>
        <w:rPr>
          <w:sz w:val="32"/>
          <w:szCs w:val="32"/>
        </w:rPr>
      </w:pPr>
      <w:bookmarkStart w:id="2" w:name="Anchor6"/>
      <w:bookmarkEnd w:id="2"/>
      <w:r w:rsidRPr="002754E4">
        <w:rPr>
          <w:sz w:val="32"/>
          <w:szCs w:val="32"/>
          <w:rtl/>
        </w:rPr>
        <w:t>هيئة المحكمة</w:t>
      </w:r>
      <w:r w:rsidRPr="002754E4">
        <w:rPr>
          <w:sz w:val="32"/>
          <w:szCs w:val="32"/>
        </w:rPr>
        <w:t xml:space="preserve">: </w:t>
      </w:r>
      <w:r w:rsidRPr="002754E4">
        <w:rPr>
          <w:sz w:val="32"/>
          <w:szCs w:val="32"/>
          <w:rtl/>
        </w:rPr>
        <w:t>برئاسة السيد المستشار عبدالهادي العطار وكيل المحكمة وعضوية السادة المستشارين يحيى موميه ومحمود عطا ومحمود عبد اللطيف وناصر مشالي</w:t>
      </w:r>
    </w:p>
    <w:bookmarkStart w:id="3" w:name="Anchor21"/>
    <w:bookmarkEnd w:id="3"/>
    <w:p w:rsidR="002754E4" w:rsidRPr="002754E4" w:rsidRDefault="002754E4" w:rsidP="002754E4">
      <w:pPr>
        <w:rPr>
          <w:sz w:val="32"/>
          <w:szCs w:val="32"/>
        </w:rPr>
      </w:pPr>
      <w:r w:rsidRPr="002754E4">
        <w:rPr>
          <w:sz w:val="32"/>
          <w:szCs w:val="32"/>
        </w:rPr>
        <w:fldChar w:fldCharType="begin"/>
      </w:r>
      <w:r w:rsidRPr="002754E4">
        <w:rPr>
          <w:sz w:val="32"/>
          <w:szCs w:val="32"/>
        </w:rPr>
        <w:instrText xml:space="preserve"> HYPERLINK "http://www.law.gov.kw/KWT_CC-Ar/00_2014/00_%D8%A7%D9%84%D8%AF%D8%A7%D8%A6%D8%B1%D8%A9%20%D8%A7%D9%84%D8%AA%D8%AC%D8%A7%D8%B1%D9%8A%D8%A9/KWT-CC-Ar_2014-06-11_01209_Taan.html" \l "TM2014_1209_1" </w:instrText>
      </w:r>
      <w:r w:rsidRPr="002754E4">
        <w:rPr>
          <w:sz w:val="32"/>
          <w:szCs w:val="32"/>
        </w:rPr>
        <w:fldChar w:fldCharType="separate"/>
      </w:r>
      <w:r w:rsidRPr="002754E4">
        <w:rPr>
          <w:rStyle w:val="Hyperlink"/>
          <w:sz w:val="32"/>
          <w:szCs w:val="32"/>
        </w:rPr>
        <w:t xml:space="preserve">1- </w:t>
      </w:r>
      <w:r w:rsidRPr="002754E4">
        <w:rPr>
          <w:rStyle w:val="Hyperlink"/>
          <w:sz w:val="32"/>
          <w:szCs w:val="32"/>
          <w:rtl/>
        </w:rPr>
        <w:t>إن على محكمة الموضوع بحث الدفاع الجوهري المقدم في الدعوى والذي من شأنه تغيير وجه الرأي في الدعوى وإلا جاء حكمها معيباً بالقصور في التسبيب</w:t>
      </w:r>
      <w:r w:rsidRPr="002754E4">
        <w:rPr>
          <w:rStyle w:val="Hyperlink"/>
          <w:sz w:val="32"/>
          <w:szCs w:val="32"/>
        </w:rPr>
        <w:t>.</w:t>
      </w:r>
      <w:r w:rsidRPr="002754E4">
        <w:rPr>
          <w:sz w:val="32"/>
          <w:szCs w:val="32"/>
        </w:rPr>
        <w:fldChar w:fldCharType="end"/>
      </w:r>
    </w:p>
    <w:bookmarkStart w:id="4" w:name="Anchor36"/>
    <w:bookmarkEnd w:id="4"/>
    <w:p w:rsidR="002754E4" w:rsidRPr="002754E4" w:rsidRDefault="002754E4" w:rsidP="002754E4">
      <w:pPr>
        <w:rPr>
          <w:sz w:val="32"/>
          <w:szCs w:val="32"/>
        </w:rPr>
      </w:pPr>
      <w:r w:rsidRPr="002754E4">
        <w:rPr>
          <w:sz w:val="32"/>
          <w:szCs w:val="32"/>
        </w:rPr>
        <w:fldChar w:fldCharType="begin"/>
      </w:r>
      <w:r w:rsidRPr="002754E4">
        <w:rPr>
          <w:sz w:val="32"/>
          <w:szCs w:val="32"/>
        </w:rPr>
        <w:instrText xml:space="preserve"> HYPERLINK "http://www.law.gov.kw/KWT_CC-Ar/00_2014/00_%D8%A7%D9%84%D8%AF%D8%A7%D8%A6%D8%B1%D8%A9%20%D8%A7%D9%84%D8%AA%D8%AC%D8%A7%D8%B1%D9%8A%D8%A9/KWT-CC-Ar_2014-06-11_01209_Taan.html" \l "TM2014_1209_2" </w:instrText>
      </w:r>
      <w:r w:rsidRPr="002754E4">
        <w:rPr>
          <w:sz w:val="32"/>
          <w:szCs w:val="32"/>
        </w:rPr>
        <w:fldChar w:fldCharType="separate"/>
      </w:r>
      <w:r w:rsidRPr="002754E4">
        <w:rPr>
          <w:rStyle w:val="Hyperlink"/>
          <w:sz w:val="32"/>
          <w:szCs w:val="32"/>
        </w:rPr>
        <w:t xml:space="preserve">2- </w:t>
      </w:r>
      <w:r w:rsidRPr="002754E4">
        <w:rPr>
          <w:rStyle w:val="Hyperlink"/>
          <w:sz w:val="32"/>
          <w:szCs w:val="32"/>
          <w:rtl/>
        </w:rPr>
        <w:t>إن تقدير مدى جدية المنازعة في الدين المرفوعة بشأنه دعوى الإفلاس وتقدير حالة توقف التاجر عن الدفاع المؤدية الى تعرض حقوق دائنيه لخطر محقق أو محتمل من المسائل التي تستقل بها محكمة الموضوع شرط إقامة قضائها على أسباب سائغة</w:t>
      </w:r>
      <w:r w:rsidRPr="002754E4">
        <w:rPr>
          <w:rStyle w:val="Hyperlink"/>
          <w:sz w:val="32"/>
          <w:szCs w:val="32"/>
        </w:rPr>
        <w:t>.</w:t>
      </w:r>
      <w:r w:rsidRPr="002754E4">
        <w:rPr>
          <w:sz w:val="32"/>
          <w:szCs w:val="32"/>
        </w:rPr>
        <w:fldChar w:fldCharType="end"/>
      </w:r>
    </w:p>
    <w:bookmarkStart w:id="5" w:name="Anchor59"/>
    <w:bookmarkEnd w:id="5"/>
    <w:p w:rsidR="002754E4" w:rsidRPr="002754E4" w:rsidRDefault="002754E4" w:rsidP="002754E4">
      <w:pPr>
        <w:rPr>
          <w:sz w:val="32"/>
          <w:szCs w:val="32"/>
        </w:rPr>
      </w:pPr>
      <w:r w:rsidRPr="002754E4">
        <w:rPr>
          <w:sz w:val="32"/>
          <w:szCs w:val="32"/>
        </w:rPr>
        <w:fldChar w:fldCharType="begin"/>
      </w:r>
      <w:r w:rsidRPr="002754E4">
        <w:rPr>
          <w:sz w:val="32"/>
          <w:szCs w:val="32"/>
        </w:rPr>
        <w:instrText xml:space="preserve"> HYPERLINK "http://www.law.gov.kw/KWT_CC-Ar/00_2014/00_%D8%A7%D9%84%D8%AF%D8%A7%D8%A6%D8%B1%D8%A9%20%D8%A7%D9%84%D8%AA%D8%AC%D8%A7%D8%B1%D9%8A%D8%A9/KWT-CC-Ar_2014-06-11_01209_Taan.html" \l "TM2014_1209_3" </w:instrText>
      </w:r>
      <w:r w:rsidRPr="002754E4">
        <w:rPr>
          <w:sz w:val="32"/>
          <w:szCs w:val="32"/>
        </w:rPr>
        <w:fldChar w:fldCharType="separate"/>
      </w:r>
      <w:r w:rsidRPr="002754E4">
        <w:rPr>
          <w:rStyle w:val="Hyperlink"/>
          <w:sz w:val="32"/>
          <w:szCs w:val="32"/>
        </w:rPr>
        <w:t xml:space="preserve">3- </w:t>
      </w:r>
      <w:r w:rsidRPr="002754E4">
        <w:rPr>
          <w:rStyle w:val="Hyperlink"/>
          <w:sz w:val="32"/>
          <w:szCs w:val="32"/>
          <w:rtl/>
        </w:rPr>
        <w:t>إن إمتناع المدين عن الدفع دون أسباب مشروعة يعتبر قرينة في غير مصلحته إلا أنه لا يُعتبر توقفاً عن الدفع المؤدي الى إشهار الإفلاس</w:t>
      </w:r>
      <w:r w:rsidRPr="002754E4">
        <w:rPr>
          <w:rStyle w:val="Hyperlink"/>
          <w:sz w:val="32"/>
          <w:szCs w:val="32"/>
        </w:rPr>
        <w:t>.</w:t>
      </w:r>
      <w:r w:rsidRPr="002754E4">
        <w:rPr>
          <w:sz w:val="32"/>
          <w:szCs w:val="32"/>
        </w:rPr>
        <w:fldChar w:fldCharType="end"/>
      </w:r>
    </w:p>
    <w:bookmarkStart w:id="6" w:name="Anchor73"/>
    <w:bookmarkEnd w:id="6"/>
    <w:p w:rsidR="002754E4" w:rsidRPr="002754E4" w:rsidRDefault="002754E4" w:rsidP="002754E4">
      <w:pPr>
        <w:rPr>
          <w:sz w:val="32"/>
          <w:szCs w:val="32"/>
        </w:rPr>
      </w:pPr>
      <w:r w:rsidRPr="002754E4">
        <w:rPr>
          <w:sz w:val="32"/>
          <w:szCs w:val="32"/>
        </w:rPr>
        <w:fldChar w:fldCharType="begin"/>
      </w:r>
      <w:r w:rsidRPr="002754E4">
        <w:rPr>
          <w:sz w:val="32"/>
          <w:szCs w:val="32"/>
        </w:rPr>
        <w:instrText xml:space="preserve"> HYPERLINK "http://www.law.gov.kw/KWT_CC-Ar/00_2014/00_%D8%A7%D9%84%D8%AF%D8%A7%D8%A6%D8%B1%D8%A9%20%D8%A7%D9%84%D8%AA%D8%AC%D8%A7%D8%B1%D9%8A%D8%A9/KWT-CC-Ar_2014-06-11_01209_Taan.html" \l "TM2014_1209_4" </w:instrText>
      </w:r>
      <w:r w:rsidRPr="002754E4">
        <w:rPr>
          <w:sz w:val="32"/>
          <w:szCs w:val="32"/>
        </w:rPr>
        <w:fldChar w:fldCharType="separate"/>
      </w:r>
      <w:r w:rsidRPr="002754E4">
        <w:rPr>
          <w:rStyle w:val="Hyperlink"/>
          <w:sz w:val="32"/>
          <w:szCs w:val="32"/>
        </w:rPr>
        <w:t xml:space="preserve">4- </w:t>
      </w:r>
      <w:r w:rsidRPr="002754E4">
        <w:rPr>
          <w:rStyle w:val="Hyperlink"/>
          <w:sz w:val="32"/>
          <w:szCs w:val="32"/>
          <w:rtl/>
        </w:rPr>
        <w:t>إن على محكمة الموضوع عند الفصل في طلب الإفلاس أن تعرض لجميع المنازعات التي يثيرها المدين لتقدير مدى جديتها</w:t>
      </w:r>
      <w:r w:rsidRPr="002754E4">
        <w:rPr>
          <w:rStyle w:val="Hyperlink"/>
          <w:sz w:val="32"/>
          <w:szCs w:val="32"/>
        </w:rPr>
        <w:t>.</w:t>
      </w:r>
      <w:r w:rsidRPr="002754E4">
        <w:rPr>
          <w:sz w:val="32"/>
          <w:szCs w:val="32"/>
        </w:rPr>
        <w:fldChar w:fldCharType="end"/>
      </w:r>
    </w:p>
    <w:bookmarkStart w:id="7" w:name="Anchor85"/>
    <w:bookmarkEnd w:id="7"/>
    <w:p w:rsidR="002754E4" w:rsidRPr="002754E4" w:rsidRDefault="002754E4" w:rsidP="002754E4">
      <w:pPr>
        <w:rPr>
          <w:sz w:val="32"/>
          <w:szCs w:val="32"/>
        </w:rPr>
      </w:pPr>
      <w:r w:rsidRPr="002754E4">
        <w:rPr>
          <w:sz w:val="32"/>
          <w:szCs w:val="32"/>
        </w:rPr>
        <w:fldChar w:fldCharType="begin"/>
      </w:r>
      <w:r w:rsidRPr="002754E4">
        <w:rPr>
          <w:sz w:val="32"/>
          <w:szCs w:val="32"/>
        </w:rPr>
        <w:instrText xml:space="preserve"> HYPERLINK "http://www.law.gov.kw/KWT_CC-Ar/00_2014/00_%D8%A7%D9%84%D8%AF%D8%A7%D8%A6%D8%B1%D8%A9%20%D8%A7%D9%84%D8%AA%D8%AC%D8%A7%D8%B1%D9%8A%D8%A9/KWT-CC-Ar_2014-06-11_01209_Taan.html" \l "TM2014_1209_5" </w:instrText>
      </w:r>
      <w:r w:rsidRPr="002754E4">
        <w:rPr>
          <w:sz w:val="32"/>
          <w:szCs w:val="32"/>
        </w:rPr>
        <w:fldChar w:fldCharType="separate"/>
      </w:r>
      <w:r w:rsidRPr="002754E4">
        <w:rPr>
          <w:rStyle w:val="Hyperlink"/>
          <w:sz w:val="32"/>
          <w:szCs w:val="32"/>
        </w:rPr>
        <w:t xml:space="preserve">5- </w:t>
      </w:r>
      <w:r w:rsidRPr="002754E4">
        <w:rPr>
          <w:rStyle w:val="Hyperlink"/>
          <w:sz w:val="32"/>
          <w:szCs w:val="32"/>
          <w:rtl/>
        </w:rPr>
        <w:t>إن الحكم القاضي بإشهار الإفلاس لتوقف المدين عن الدفع هو حكم معيب بالقصور في التسبيب لعدم بحثه دفاع الشركة المدينة الجوهري حول براءة ذمتها من المبلغ سند المديونية وتقديمها المستندات الدالة على ذلك</w:t>
      </w:r>
      <w:r w:rsidRPr="002754E4">
        <w:rPr>
          <w:rStyle w:val="Hyperlink"/>
          <w:sz w:val="32"/>
          <w:szCs w:val="32"/>
        </w:rPr>
        <w:t>.</w:t>
      </w:r>
      <w:r w:rsidRPr="002754E4">
        <w:rPr>
          <w:sz w:val="32"/>
          <w:szCs w:val="32"/>
        </w:rPr>
        <w:fldChar w:fldCharType="end"/>
      </w:r>
      <w:r w:rsidRPr="002754E4">
        <w:rPr>
          <w:sz w:val="32"/>
          <w:szCs w:val="32"/>
        </w:rPr>
        <w:br/>
      </w:r>
      <w:r w:rsidRPr="002754E4">
        <w:rPr>
          <w:sz w:val="32"/>
          <w:szCs w:val="32"/>
        </w:rPr>
        <w:br/>
      </w:r>
      <w:r w:rsidRPr="002754E4">
        <w:rPr>
          <w:sz w:val="32"/>
          <w:szCs w:val="32"/>
          <w:u w:val="single"/>
          <w:rtl/>
        </w:rPr>
        <w:t>ملاحظة</w:t>
      </w:r>
      <w:r w:rsidRPr="002754E4">
        <w:rPr>
          <w:sz w:val="32"/>
          <w:szCs w:val="32"/>
          <w:u w:val="single"/>
        </w:rPr>
        <w:t xml:space="preserve"> :</w:t>
      </w:r>
      <w:r w:rsidRPr="002754E4">
        <w:rPr>
          <w:sz w:val="32"/>
          <w:szCs w:val="32"/>
        </w:rPr>
        <w:br/>
      </w:r>
      <w:r w:rsidRPr="002754E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2754E4" w:rsidRPr="002754E4" w:rsidRDefault="002754E4" w:rsidP="002754E4">
      <w:pPr>
        <w:rPr>
          <w:sz w:val="32"/>
          <w:szCs w:val="32"/>
        </w:rPr>
      </w:pPr>
      <w:bookmarkStart w:id="8" w:name="Anchor106"/>
      <w:bookmarkEnd w:id="8"/>
      <w:r w:rsidRPr="002754E4">
        <w:rPr>
          <w:b/>
          <w:bCs/>
          <w:sz w:val="32"/>
          <w:szCs w:val="32"/>
          <w:rtl/>
        </w:rPr>
        <w:t>المحكمة</w:t>
      </w:r>
    </w:p>
    <w:p w:rsidR="002754E4" w:rsidRPr="002754E4" w:rsidRDefault="002754E4" w:rsidP="002754E4">
      <w:pPr>
        <w:rPr>
          <w:sz w:val="32"/>
          <w:szCs w:val="32"/>
        </w:rPr>
      </w:pPr>
      <w:bookmarkStart w:id="9" w:name="Anchor107"/>
      <w:bookmarkEnd w:id="9"/>
      <w:r w:rsidRPr="002754E4">
        <w:rPr>
          <w:sz w:val="32"/>
          <w:szCs w:val="32"/>
          <w:rtl/>
        </w:rPr>
        <w:t>بعد الاطلاع على الأوراق، وسماع المرافعة وبعد المداولة</w:t>
      </w:r>
      <w:r w:rsidRPr="002754E4">
        <w:rPr>
          <w:sz w:val="32"/>
          <w:szCs w:val="32"/>
        </w:rPr>
        <w:t>.</w:t>
      </w:r>
    </w:p>
    <w:p w:rsidR="002754E4" w:rsidRPr="002754E4" w:rsidRDefault="002754E4" w:rsidP="002754E4">
      <w:pPr>
        <w:rPr>
          <w:sz w:val="32"/>
          <w:szCs w:val="32"/>
        </w:rPr>
      </w:pPr>
      <w:bookmarkStart w:id="10" w:name="Anchor114"/>
      <w:bookmarkEnd w:id="10"/>
      <w:r w:rsidRPr="002754E4">
        <w:rPr>
          <w:sz w:val="32"/>
          <w:szCs w:val="32"/>
          <w:rtl/>
        </w:rPr>
        <w:t>حيث إن الطعنين استوفيا أوضاعهما الشكلية</w:t>
      </w:r>
      <w:r w:rsidRPr="002754E4">
        <w:rPr>
          <w:sz w:val="32"/>
          <w:szCs w:val="32"/>
        </w:rPr>
        <w:t>.</w:t>
      </w:r>
    </w:p>
    <w:p w:rsidR="002754E4" w:rsidRPr="002754E4" w:rsidRDefault="002754E4" w:rsidP="002754E4">
      <w:pPr>
        <w:rPr>
          <w:sz w:val="32"/>
          <w:szCs w:val="32"/>
        </w:rPr>
      </w:pPr>
      <w:bookmarkStart w:id="11" w:name="Anchor120"/>
      <w:bookmarkEnd w:id="11"/>
      <w:r w:rsidRPr="002754E4">
        <w:rPr>
          <w:sz w:val="32"/>
          <w:szCs w:val="32"/>
          <w:rtl/>
        </w:rPr>
        <w:t xml:space="preserve">وحيث إن الوقائع </w:t>
      </w:r>
      <w:r w:rsidRPr="002754E4">
        <w:rPr>
          <w:sz w:val="32"/>
          <w:szCs w:val="32"/>
        </w:rPr>
        <w:t xml:space="preserve">- </w:t>
      </w:r>
      <w:r w:rsidRPr="002754E4">
        <w:rPr>
          <w:sz w:val="32"/>
          <w:szCs w:val="32"/>
          <w:rtl/>
        </w:rPr>
        <w:t xml:space="preserve">على ما يبين من الحكم المطعون فيه وسائر الأوراق </w:t>
      </w:r>
      <w:r w:rsidRPr="002754E4">
        <w:rPr>
          <w:sz w:val="32"/>
          <w:szCs w:val="32"/>
        </w:rPr>
        <w:t xml:space="preserve">- </w:t>
      </w:r>
      <w:r w:rsidRPr="002754E4">
        <w:rPr>
          <w:sz w:val="32"/>
          <w:szCs w:val="32"/>
          <w:rtl/>
        </w:rPr>
        <w:t xml:space="preserve">تتحصل في أن صندوق بوبيان المالي </w:t>
      </w:r>
      <w:r w:rsidRPr="002754E4">
        <w:rPr>
          <w:sz w:val="32"/>
          <w:szCs w:val="32"/>
        </w:rPr>
        <w:t xml:space="preserve">- </w:t>
      </w:r>
      <w:r w:rsidRPr="002754E4">
        <w:rPr>
          <w:sz w:val="32"/>
          <w:szCs w:val="32"/>
          <w:rtl/>
        </w:rPr>
        <w:t xml:space="preserve">الطاعن في الطعن الثاني </w:t>
      </w:r>
      <w:r w:rsidRPr="002754E4">
        <w:rPr>
          <w:sz w:val="32"/>
          <w:szCs w:val="32"/>
        </w:rPr>
        <w:t xml:space="preserve">- </w:t>
      </w:r>
      <w:r w:rsidRPr="002754E4">
        <w:rPr>
          <w:sz w:val="32"/>
          <w:szCs w:val="32"/>
          <w:rtl/>
        </w:rPr>
        <w:t xml:space="preserve">أقام على شركة الشبكة القابضة </w:t>
      </w:r>
      <w:r w:rsidRPr="002754E4">
        <w:rPr>
          <w:sz w:val="32"/>
          <w:szCs w:val="32"/>
        </w:rPr>
        <w:t xml:space="preserve">- </w:t>
      </w:r>
      <w:r w:rsidRPr="002754E4">
        <w:rPr>
          <w:sz w:val="32"/>
          <w:szCs w:val="32"/>
          <w:rtl/>
        </w:rPr>
        <w:t xml:space="preserve">الطاعنة في الطعن الأول </w:t>
      </w:r>
      <w:r w:rsidRPr="002754E4">
        <w:rPr>
          <w:sz w:val="32"/>
          <w:szCs w:val="32"/>
        </w:rPr>
        <w:t xml:space="preserve">- </w:t>
      </w:r>
      <w:r w:rsidRPr="002754E4">
        <w:rPr>
          <w:sz w:val="32"/>
          <w:szCs w:val="32"/>
          <w:rtl/>
        </w:rPr>
        <w:t xml:space="preserve">الدعوى رقم 4405 لسنة 2010 تجارى كلي بطلب الحكم بإشهار إفلاسها لتوقفها عن دفع مديونيتها له البالغ قدرها </w:t>
      </w:r>
      <w:r w:rsidRPr="002754E4">
        <w:rPr>
          <w:sz w:val="32"/>
          <w:szCs w:val="32"/>
        </w:rPr>
        <w:lastRenderedPageBreak/>
        <w:t xml:space="preserve">41/19.172.189 </w:t>
      </w:r>
      <w:r w:rsidRPr="002754E4">
        <w:rPr>
          <w:sz w:val="32"/>
          <w:szCs w:val="32"/>
          <w:rtl/>
        </w:rPr>
        <w:t>دولار أمريكي بموجب سند إذني مستحق الدفع في 2009/8/19 بما ينبئ عن إضطراب مركزها المالي. ندبت المحكمة خبيراً وبعد أن أودع تقريره حكمت بتا ريخ 2011/12/22 بإشهار إفلاس الشركة الطاعنة في الطعن الأول، فاستأنفت هذا الحكم بالاستئناف رقم 459 لسنة 2012 تجارى وبتاريخ 2012/5/30 قضت المحكمة بتأييد الحكم المستأنف</w:t>
      </w:r>
      <w:r w:rsidRPr="002754E4">
        <w:rPr>
          <w:sz w:val="32"/>
          <w:szCs w:val="32"/>
        </w:rPr>
        <w:t xml:space="preserve">. </w:t>
      </w:r>
      <w:r w:rsidRPr="002754E4">
        <w:rPr>
          <w:sz w:val="32"/>
          <w:szCs w:val="32"/>
          <w:rtl/>
        </w:rPr>
        <w:t>طعنت شركة الشبكة القابضة على هذا الحكم بطريق التمييز بالطعن رقم 1209 لسنة 2012 تجارى، كما طعن صندوق بوبيان الما لي على الحكم بذات الطريق بالطعن رقم 1279 لسنة 2012 تجارى</w:t>
      </w:r>
      <w:r w:rsidRPr="002754E4">
        <w:rPr>
          <w:sz w:val="32"/>
          <w:szCs w:val="32"/>
        </w:rPr>
        <w:t xml:space="preserve">. </w:t>
      </w:r>
      <w:r w:rsidRPr="002754E4">
        <w:rPr>
          <w:sz w:val="32"/>
          <w:szCs w:val="32"/>
          <w:rtl/>
        </w:rPr>
        <w:t>وأودعت النيابة مذكرة ابدت فيها الرأي برفض الطعنين</w:t>
      </w:r>
      <w:r w:rsidRPr="002754E4">
        <w:rPr>
          <w:sz w:val="32"/>
          <w:szCs w:val="32"/>
        </w:rPr>
        <w:t xml:space="preserve">. </w:t>
      </w:r>
      <w:r w:rsidRPr="002754E4">
        <w:rPr>
          <w:sz w:val="32"/>
          <w:szCs w:val="32"/>
          <w:rtl/>
        </w:rPr>
        <w:t>وإذ عرض الطعنان على هذه المحكمة في غرفة المشورة حددت جلسة لنظرهما وفيها ضمت الطعن الثاني للأول وتم تصحيح شكل الطعن الأول باختصام الاستاذة</w:t>
      </w:r>
      <w:r w:rsidRPr="002754E4">
        <w:rPr>
          <w:sz w:val="32"/>
          <w:szCs w:val="32"/>
        </w:rPr>
        <w:t xml:space="preserve">/........ </w:t>
      </w:r>
      <w:r w:rsidRPr="002754E4">
        <w:rPr>
          <w:sz w:val="32"/>
          <w:szCs w:val="32"/>
          <w:rtl/>
        </w:rPr>
        <w:t>بصفتها مدير التفليسة الجديد وإلتزمت النيابة رأيها</w:t>
      </w:r>
      <w:r w:rsidRPr="002754E4">
        <w:rPr>
          <w:sz w:val="32"/>
          <w:szCs w:val="32"/>
        </w:rPr>
        <w:t>.</w:t>
      </w:r>
    </w:p>
    <w:p w:rsidR="002754E4" w:rsidRPr="002754E4" w:rsidRDefault="002754E4" w:rsidP="002754E4">
      <w:pPr>
        <w:rPr>
          <w:sz w:val="32"/>
          <w:szCs w:val="32"/>
        </w:rPr>
      </w:pPr>
      <w:bookmarkStart w:id="12" w:name="Anchor218"/>
      <w:bookmarkEnd w:id="12"/>
      <w:r w:rsidRPr="002754E4">
        <w:rPr>
          <w:sz w:val="32"/>
          <w:szCs w:val="32"/>
          <w:rtl/>
        </w:rPr>
        <w:t>وحيث إن مما تنعاه شركة الشبكة القابضة الطاعنة في الطعن الأول رقم 1209 لسنة 2012 تجارى على الحكم المطعون فيه القصور في التسبيب والفساد في الاستدلال وبياناً لذلك تقول أنها تمسكت أمام محكمة الاستئناف بأنها قامت بسداد المديونية المستحقة للمطعون ضده الأول بعد أن قامت شركة الريادة كابيتال بتسييل المحفظة الاستثمارية المرهونة لديها وبيع الأسهم لصالح المطعون ضده الأول وحصوله على المبلغ المرهون والمودع بالمحفظة وقدرة 665/872.951 د.ك وقدمت المستندات الدالة على ذلك مما يثبت براءة ذمتها من المبلغ سند المديونية والذي قضي بإشهار إفلاسها بسببه ولم يرد المطعون ضده الأول على ما سبق مما يدل على عدم أحقيته في طلب شهر إفلاسها لعدم توافر الشروط التي تطلبها المشرع في هذا الشأن، إلا أن الحكم المطعون فيه لم يتناول هذا الدفاع الجوهري المبدى منها وأيد حكم أول درجة فيما قضي به من إشهار إفلاسها مما يعيبه ويستوجب تمييزه</w:t>
      </w:r>
      <w:r w:rsidRPr="002754E4">
        <w:rPr>
          <w:sz w:val="32"/>
          <w:szCs w:val="32"/>
        </w:rPr>
        <w:t>.</w:t>
      </w:r>
    </w:p>
    <w:p w:rsidR="002754E4" w:rsidRPr="002754E4" w:rsidRDefault="002754E4" w:rsidP="002754E4">
      <w:pPr>
        <w:rPr>
          <w:sz w:val="32"/>
          <w:szCs w:val="32"/>
        </w:rPr>
      </w:pPr>
      <w:bookmarkStart w:id="13" w:name="Anchor296"/>
      <w:bookmarkEnd w:id="13"/>
      <w:r w:rsidRPr="002754E4">
        <w:rPr>
          <w:sz w:val="32"/>
          <w:szCs w:val="32"/>
          <w:rtl/>
        </w:rPr>
        <w:t xml:space="preserve">وحيث إن هذا النعي سديد ذلك أنه </w:t>
      </w:r>
      <w:bookmarkStart w:id="14" w:name="TM2014_1209_1"/>
      <w:bookmarkEnd w:id="14"/>
      <w:r w:rsidRPr="002754E4">
        <w:rPr>
          <w:b/>
          <w:bCs/>
          <w:sz w:val="32"/>
          <w:szCs w:val="32"/>
          <w:rtl/>
        </w:rPr>
        <w:t>من المقرر في قضاء هذه المحكمة أنه متى أبدى أحد الخصوم دفاعاً جوهرياً من شأنه تغيير وجه الرأي في الدعوي واستدل عليه بمستندات قدمت لمحكمة الموضوع فإنه يتعين عليها تمحيص هذا الدفاع على ضوء ما تنطوي عليه تلك المستندات وإلا جاء حكمها معيباً بالقصور في التسبيب،</w:t>
      </w:r>
      <w:r w:rsidRPr="002754E4">
        <w:rPr>
          <w:sz w:val="32"/>
          <w:szCs w:val="32"/>
          <w:rtl/>
        </w:rPr>
        <w:t xml:space="preserve"> وإنه </w:t>
      </w:r>
      <w:bookmarkStart w:id="15" w:name="TM2014_1209_2"/>
      <w:bookmarkEnd w:id="15"/>
      <w:r w:rsidRPr="002754E4">
        <w:rPr>
          <w:b/>
          <w:bCs/>
          <w:sz w:val="32"/>
          <w:szCs w:val="32"/>
          <w:rtl/>
        </w:rPr>
        <w:t>وإن كان تقدير مدى جدية المنازعة في الدين المرفوع بشأنه دعوى الإفلاس وتقدير حالة التوقف عن الدفع المنبئة عن مركز مالي مضطرب وضائقة مستحكمة يتزعزع معها إئتمان التاجر وتتعرض معها حقوق دائنيه إلى خطر محقق أو كبير الإحتمال، مما يدخل في السلطة المطلقة لمحكمة الموضوع بلا معقب عليها إلا أن ذلك مشروط بان تقيم قضاءها على أسباب سائغة تكفى لحمله ولها أصلها الثابت بالأوراق،</w:t>
      </w:r>
    </w:p>
    <w:p w:rsidR="002754E4" w:rsidRPr="002754E4" w:rsidRDefault="002754E4" w:rsidP="002754E4">
      <w:pPr>
        <w:rPr>
          <w:sz w:val="32"/>
          <w:szCs w:val="32"/>
        </w:rPr>
      </w:pPr>
      <w:bookmarkStart w:id="16" w:name="Anchor362"/>
      <w:bookmarkStart w:id="17" w:name="TM2014_1209_3"/>
      <w:bookmarkEnd w:id="16"/>
      <w:bookmarkEnd w:id="17"/>
      <w:r w:rsidRPr="002754E4">
        <w:rPr>
          <w:b/>
          <w:bCs/>
          <w:sz w:val="32"/>
          <w:szCs w:val="32"/>
          <w:rtl/>
        </w:rPr>
        <w:t>وإن كان إمتناع المدين عن الدفع دون أن تكون لديه أسباب مشروعه يعتبر قرينه في غير مصلحته إلا أنه لا يعتبر توقفاً عن الدفع بالمعني السالف بيانه، إذ قد يكون مرجع هذا الامتناع عذراً طرأ عليه مع إقتداره على الدفع وقد يكون لمنازعته في الدين من حيث صحته أو مقداره أو حلول أجل استحقاقه أو إنقضائه بسبب من أسباب الانقضاء. لذا يشترط في الدين الذي يشهر الإفلاس عند الوقوف عن دفعه أن يكون مستحق الأداء خالياً من النزاع</w:t>
      </w:r>
      <w:r w:rsidRPr="002754E4">
        <w:rPr>
          <w:sz w:val="32"/>
          <w:szCs w:val="32"/>
          <w:rtl/>
        </w:rPr>
        <w:t xml:space="preserve"> </w:t>
      </w:r>
    </w:p>
    <w:p w:rsidR="002754E4" w:rsidRPr="002754E4" w:rsidRDefault="002754E4" w:rsidP="002754E4">
      <w:pPr>
        <w:rPr>
          <w:sz w:val="32"/>
          <w:szCs w:val="32"/>
        </w:rPr>
      </w:pPr>
      <w:bookmarkStart w:id="18" w:name="Anchor401"/>
      <w:bookmarkStart w:id="19" w:name="TM2014_1209_4"/>
      <w:bookmarkEnd w:id="18"/>
      <w:bookmarkEnd w:id="19"/>
      <w:r w:rsidRPr="002754E4">
        <w:rPr>
          <w:b/>
          <w:bCs/>
          <w:sz w:val="32"/>
          <w:szCs w:val="32"/>
          <w:rtl/>
        </w:rPr>
        <w:t>ويتعين على محكمة الموضوع عند الفصل في طلب الافلاس أن تعرض لجميع المنازعات التي يثيرها المدين لتقدير مدى جديتها</w:t>
      </w:r>
      <w:r w:rsidRPr="002754E4">
        <w:rPr>
          <w:b/>
          <w:bCs/>
          <w:sz w:val="32"/>
          <w:szCs w:val="32"/>
        </w:rPr>
        <w:t>.</w:t>
      </w:r>
      <w:r w:rsidRPr="002754E4">
        <w:rPr>
          <w:sz w:val="32"/>
          <w:szCs w:val="32"/>
        </w:rPr>
        <w:t xml:space="preserve"> </w:t>
      </w:r>
      <w:r w:rsidRPr="002754E4">
        <w:rPr>
          <w:sz w:val="32"/>
          <w:szCs w:val="32"/>
          <w:rtl/>
        </w:rPr>
        <w:t xml:space="preserve">لما كان ذلك </w:t>
      </w:r>
      <w:bookmarkStart w:id="20" w:name="TM2014_1209_5"/>
      <w:bookmarkEnd w:id="20"/>
      <w:r w:rsidRPr="002754E4">
        <w:rPr>
          <w:b/>
          <w:bCs/>
          <w:sz w:val="32"/>
          <w:szCs w:val="32"/>
          <w:rtl/>
        </w:rPr>
        <w:t xml:space="preserve">وكانت الطاعنة قد تمسكت بصحيفة إستئنافها بأنها قد حصلت بتاريخ 2008/7/30 من صندوق بوبيان </w:t>
      </w:r>
      <w:r w:rsidRPr="002754E4">
        <w:rPr>
          <w:b/>
          <w:bCs/>
          <w:sz w:val="32"/>
          <w:szCs w:val="32"/>
        </w:rPr>
        <w:t>(</w:t>
      </w:r>
      <w:r w:rsidRPr="002754E4">
        <w:rPr>
          <w:b/>
          <w:bCs/>
          <w:sz w:val="32"/>
          <w:szCs w:val="32"/>
          <w:rtl/>
        </w:rPr>
        <w:t xml:space="preserve">المطعون ضده الأول) على تمويلا مصرفيا قدرة خمسة ملايين دينار كويتي بموجبه حررت له سنداً إذنياً بمبلغ </w:t>
      </w:r>
      <w:r w:rsidRPr="002754E4">
        <w:rPr>
          <w:b/>
          <w:bCs/>
          <w:sz w:val="32"/>
          <w:szCs w:val="32"/>
        </w:rPr>
        <w:t xml:space="preserve">41/19.172.189 </w:t>
      </w:r>
      <w:r w:rsidRPr="002754E4">
        <w:rPr>
          <w:b/>
          <w:bCs/>
          <w:sz w:val="32"/>
          <w:szCs w:val="32"/>
          <w:rtl/>
        </w:rPr>
        <w:t xml:space="preserve">دولار أمريكي مقابل رهن محفظة استثمارية مملوكة لها عبارة عن عشرة ملايين وخمسمائة ألف سهم من أسهم شركة أبراج القابضة بالإضافة الى مبلغ 665/872.951 دينار كويتي كان موجودا بالمحفظة التي تديرها شركة الريادة كابيتال التابعة للمطعون ضده الأول والتي قامت بناءاً على طلبه في 2009/2/15 بتسييل المحفظة الاستثمارية وبيع الأسهم لصالحه بالإضافة الى حصوله على المبلغ المرهون والمودع بالمحفظة سالف البيان وبذلك تكون الطاعنة قد سددت مديونيتها كاملة للمطعون ضده الأول وقدمت تأييدا لذلك حافظة مستندات طويت على صورة عقد محفظة إستثمارية بينها وبين المطعون ضده الأول وشركة الريادة كابيتال مؤرخ </w:t>
      </w:r>
      <w:r w:rsidRPr="002754E4">
        <w:rPr>
          <w:b/>
          <w:bCs/>
          <w:sz w:val="32"/>
          <w:szCs w:val="32"/>
        </w:rPr>
        <w:t xml:space="preserve">2009/7/30 </w:t>
      </w:r>
      <w:r w:rsidRPr="002754E4">
        <w:rPr>
          <w:b/>
          <w:bCs/>
          <w:sz w:val="32"/>
          <w:szCs w:val="32"/>
          <w:rtl/>
        </w:rPr>
        <w:t xml:space="preserve">وما يفيد تسييل المحفظة وبيع الأسهم لصالح المطعون ضده الأول، وطلبت ندب خبير لحساب ما سددته للمطعون ضده الأول إلا أن محكمة الاستئناف لم تعرض لهذا الدفاع بالبحث والتمحيص ولم تقف على دلالة ما قدمته الطاعنة من مستندات مؤيده له رغم أنه دفاع جوهري من شأنه </w:t>
      </w:r>
      <w:r w:rsidRPr="002754E4">
        <w:rPr>
          <w:b/>
          <w:bCs/>
          <w:sz w:val="32"/>
          <w:szCs w:val="32"/>
        </w:rPr>
        <w:t xml:space="preserve">- </w:t>
      </w:r>
      <w:r w:rsidRPr="002754E4">
        <w:rPr>
          <w:b/>
          <w:bCs/>
          <w:sz w:val="32"/>
          <w:szCs w:val="32"/>
          <w:rtl/>
        </w:rPr>
        <w:t xml:space="preserve">لو صح </w:t>
      </w:r>
      <w:r w:rsidRPr="002754E4">
        <w:rPr>
          <w:b/>
          <w:bCs/>
          <w:sz w:val="32"/>
          <w:szCs w:val="32"/>
        </w:rPr>
        <w:t xml:space="preserve">- </w:t>
      </w:r>
      <w:r w:rsidRPr="002754E4">
        <w:rPr>
          <w:b/>
          <w:bCs/>
          <w:sz w:val="32"/>
          <w:szCs w:val="32"/>
          <w:rtl/>
        </w:rPr>
        <w:t>أن يتغير به وجه الرأي في الدعوى الأمر الذي يعيب حكمها بالقصور بما يوجب تمييزه دون حاجة لبحث باقي أسباب الطعن</w:t>
      </w:r>
      <w:r w:rsidRPr="002754E4">
        <w:rPr>
          <w:b/>
          <w:bCs/>
          <w:sz w:val="32"/>
          <w:szCs w:val="32"/>
        </w:rPr>
        <w:t>.</w:t>
      </w:r>
    </w:p>
    <w:p w:rsidR="002754E4" w:rsidRPr="002754E4" w:rsidRDefault="002754E4" w:rsidP="002754E4">
      <w:pPr>
        <w:rPr>
          <w:sz w:val="32"/>
          <w:szCs w:val="32"/>
        </w:rPr>
      </w:pPr>
      <w:bookmarkStart w:id="21" w:name="Anchor523"/>
      <w:bookmarkEnd w:id="21"/>
      <w:r w:rsidRPr="002754E4">
        <w:rPr>
          <w:sz w:val="32"/>
          <w:szCs w:val="32"/>
          <w:rtl/>
        </w:rPr>
        <w:t xml:space="preserve">وحيث إن المحكمة وقد حكمت في الطعن الأول رقم 1209 لسنة 2012 تجارى بتمييز الحكم المطعون فيه </w:t>
      </w:r>
      <w:r w:rsidRPr="002754E4">
        <w:rPr>
          <w:sz w:val="32"/>
          <w:szCs w:val="32"/>
        </w:rPr>
        <w:t xml:space="preserve">- </w:t>
      </w:r>
      <w:r w:rsidRPr="002754E4">
        <w:rPr>
          <w:sz w:val="32"/>
          <w:szCs w:val="32"/>
          <w:rtl/>
        </w:rPr>
        <w:t xml:space="preserve">على نحو ما تقدم </w:t>
      </w:r>
      <w:r w:rsidRPr="002754E4">
        <w:rPr>
          <w:sz w:val="32"/>
          <w:szCs w:val="32"/>
        </w:rPr>
        <w:t xml:space="preserve">- </w:t>
      </w:r>
      <w:r w:rsidRPr="002754E4">
        <w:rPr>
          <w:sz w:val="32"/>
          <w:szCs w:val="32"/>
          <w:rtl/>
        </w:rPr>
        <w:t>فإن الطعن الثاني المنضم رقم 1279 لسنة 2012 تجارى يكون قد زال محله الأمر الذي يتعين معه القضاء بإنتهاء الخصومة فيه</w:t>
      </w:r>
      <w:r w:rsidRPr="002754E4">
        <w:rPr>
          <w:sz w:val="32"/>
          <w:szCs w:val="32"/>
        </w:rPr>
        <w:t>.</w:t>
      </w:r>
    </w:p>
    <w:p w:rsidR="002754E4" w:rsidRPr="002754E4" w:rsidRDefault="002754E4" w:rsidP="002754E4">
      <w:pPr>
        <w:rPr>
          <w:sz w:val="32"/>
          <w:szCs w:val="32"/>
        </w:rPr>
      </w:pPr>
      <w:bookmarkStart w:id="22" w:name="Anchor547"/>
      <w:bookmarkEnd w:id="22"/>
      <w:r w:rsidRPr="002754E4">
        <w:rPr>
          <w:sz w:val="32"/>
          <w:szCs w:val="32"/>
          <w:rtl/>
        </w:rPr>
        <w:t>وحيث إنه عن الاستئناف رقم 459 لسنة 2012 تجارى فإن المحكمة ترى قبل الفصل في موضوعه إعادة الأوراق الى إدارة الخبراء لأداء المأمورية المبينة بمنطوق هذا الحكم مع إرجاء البت في المصروفات</w:t>
      </w:r>
      <w:r w:rsidRPr="002754E4">
        <w:rPr>
          <w:sz w:val="32"/>
          <w:szCs w:val="32"/>
        </w:rPr>
        <w:t>.</w:t>
      </w:r>
    </w:p>
    <w:p w:rsidR="002754E4" w:rsidRPr="002754E4" w:rsidRDefault="002754E4" w:rsidP="002754E4">
      <w:pPr>
        <w:rPr>
          <w:sz w:val="32"/>
          <w:szCs w:val="32"/>
        </w:rPr>
      </w:pPr>
      <w:bookmarkStart w:id="23" w:name="Anchor565"/>
      <w:bookmarkEnd w:id="23"/>
      <w:r w:rsidRPr="002754E4">
        <w:rPr>
          <w:b/>
          <w:bCs/>
          <w:sz w:val="32"/>
          <w:szCs w:val="32"/>
          <w:rtl/>
        </w:rPr>
        <w:t>فلهذه الأسباب</w:t>
      </w:r>
    </w:p>
    <w:p w:rsidR="002754E4" w:rsidRPr="002754E4" w:rsidRDefault="002754E4" w:rsidP="002754E4">
      <w:pPr>
        <w:rPr>
          <w:sz w:val="32"/>
          <w:szCs w:val="32"/>
        </w:rPr>
      </w:pPr>
      <w:bookmarkStart w:id="24" w:name="Anchor567"/>
      <w:bookmarkEnd w:id="24"/>
      <w:r w:rsidRPr="002754E4">
        <w:rPr>
          <w:b/>
          <w:bCs/>
          <w:sz w:val="32"/>
          <w:szCs w:val="32"/>
          <w:rtl/>
        </w:rPr>
        <w:t>حكمت المحكمة</w:t>
      </w:r>
    </w:p>
    <w:p w:rsidR="002754E4" w:rsidRPr="002754E4" w:rsidRDefault="002754E4" w:rsidP="002754E4">
      <w:pPr>
        <w:rPr>
          <w:sz w:val="32"/>
          <w:szCs w:val="32"/>
        </w:rPr>
      </w:pPr>
      <w:bookmarkStart w:id="25" w:name="Anchor569"/>
      <w:bookmarkEnd w:id="25"/>
      <w:r w:rsidRPr="002754E4">
        <w:rPr>
          <w:b/>
          <w:bCs/>
          <w:sz w:val="32"/>
          <w:szCs w:val="32"/>
          <w:rtl/>
        </w:rPr>
        <w:t>أولا</w:t>
      </w:r>
      <w:r w:rsidRPr="002754E4">
        <w:rPr>
          <w:b/>
          <w:bCs/>
          <w:sz w:val="32"/>
          <w:szCs w:val="32"/>
        </w:rPr>
        <w:t>:-</w:t>
      </w:r>
      <w:r w:rsidRPr="002754E4">
        <w:rPr>
          <w:sz w:val="32"/>
          <w:szCs w:val="32"/>
        </w:rPr>
        <w:t xml:space="preserve"> </w:t>
      </w:r>
      <w:r w:rsidRPr="002754E4">
        <w:rPr>
          <w:sz w:val="32"/>
          <w:szCs w:val="32"/>
          <w:rtl/>
        </w:rPr>
        <w:t>بقبول الطعنين شكلاً وفى موضوع الطعن رقم 1209 لسنة 2012 تجارى بتمييز الحكم المطعون فيه وألزمت المطعون ضده المصروفات ومبلغ عشرين ديناراً مقابل أتعاب المحاماة</w:t>
      </w:r>
      <w:r w:rsidRPr="002754E4">
        <w:rPr>
          <w:sz w:val="32"/>
          <w:szCs w:val="32"/>
        </w:rPr>
        <w:t>.</w:t>
      </w:r>
    </w:p>
    <w:p w:rsidR="002754E4" w:rsidRPr="002754E4" w:rsidRDefault="002754E4" w:rsidP="002754E4">
      <w:pPr>
        <w:rPr>
          <w:sz w:val="32"/>
          <w:szCs w:val="32"/>
        </w:rPr>
      </w:pPr>
      <w:bookmarkStart w:id="26" w:name="Anchor585"/>
      <w:bookmarkEnd w:id="26"/>
      <w:r w:rsidRPr="002754E4">
        <w:rPr>
          <w:b/>
          <w:bCs/>
          <w:sz w:val="32"/>
          <w:szCs w:val="32"/>
          <w:rtl/>
        </w:rPr>
        <w:t>ثانيا</w:t>
      </w:r>
      <w:r w:rsidRPr="002754E4">
        <w:rPr>
          <w:b/>
          <w:bCs/>
          <w:sz w:val="32"/>
          <w:szCs w:val="32"/>
        </w:rPr>
        <w:t>:-</w:t>
      </w:r>
      <w:r w:rsidRPr="002754E4">
        <w:rPr>
          <w:sz w:val="32"/>
          <w:szCs w:val="32"/>
        </w:rPr>
        <w:t xml:space="preserve"> </w:t>
      </w:r>
      <w:r w:rsidRPr="002754E4">
        <w:rPr>
          <w:sz w:val="32"/>
          <w:szCs w:val="32"/>
          <w:rtl/>
        </w:rPr>
        <w:t xml:space="preserve">وقبل الفصل في موضوع الاستئناف رقم 459 لسنة 2012 تجارى بندب إدارة الخبراء بوزارة العدل لتعهد إلى الخبير السابق ندبه بالحكم الصادر من محكمة أول درجة بجلسة 2011/1/13 او غيره عند الاقتضاء تكون مهمته بعد مطالعة أوراق الدعوى وما بها من مستندات وما عسي أن يقدمه الخصوم منها أثناء مباشرته المأمورية تصفية الحساب بين المستأنفة والمستأنف ضده الأول </w:t>
      </w:r>
      <w:r w:rsidRPr="002754E4">
        <w:rPr>
          <w:sz w:val="32"/>
          <w:szCs w:val="32"/>
        </w:rPr>
        <w:t xml:space="preserve">- </w:t>
      </w:r>
      <w:r w:rsidRPr="002754E4">
        <w:rPr>
          <w:sz w:val="32"/>
          <w:szCs w:val="32"/>
          <w:rtl/>
        </w:rPr>
        <w:t xml:space="preserve">صندوق بوبيان المالي </w:t>
      </w:r>
      <w:r w:rsidRPr="002754E4">
        <w:rPr>
          <w:sz w:val="32"/>
          <w:szCs w:val="32"/>
        </w:rPr>
        <w:t xml:space="preserve">- </w:t>
      </w:r>
      <w:r w:rsidRPr="002754E4">
        <w:rPr>
          <w:sz w:val="32"/>
          <w:szCs w:val="32"/>
          <w:rtl/>
        </w:rPr>
        <w:t xml:space="preserve">في خصوص المديونية الثابتة بالسند الإذني المستحق الدفع في </w:t>
      </w:r>
      <w:r w:rsidRPr="002754E4">
        <w:rPr>
          <w:sz w:val="32"/>
          <w:szCs w:val="32"/>
        </w:rPr>
        <w:t xml:space="preserve">2009/8/19 - </w:t>
      </w:r>
      <w:r w:rsidRPr="002754E4">
        <w:rPr>
          <w:sz w:val="32"/>
          <w:szCs w:val="32"/>
          <w:rtl/>
        </w:rPr>
        <w:t xml:space="preserve">وبيان قيمة المبالغ الناشئة عن تسييل المحفظة الاستثمارية المملوكة للمستأنفة </w:t>
      </w:r>
      <w:r w:rsidRPr="002754E4">
        <w:rPr>
          <w:sz w:val="32"/>
          <w:szCs w:val="32"/>
        </w:rPr>
        <w:t xml:space="preserve">- </w:t>
      </w:r>
      <w:r w:rsidRPr="002754E4">
        <w:rPr>
          <w:sz w:val="32"/>
          <w:szCs w:val="32"/>
          <w:rtl/>
        </w:rPr>
        <w:t xml:space="preserve">شركة الشركة القابضة </w:t>
      </w:r>
      <w:r w:rsidRPr="002754E4">
        <w:rPr>
          <w:sz w:val="32"/>
          <w:szCs w:val="32"/>
        </w:rPr>
        <w:t xml:space="preserve">- </w:t>
      </w:r>
      <w:r w:rsidRPr="002754E4">
        <w:rPr>
          <w:sz w:val="32"/>
          <w:szCs w:val="32"/>
          <w:rtl/>
        </w:rPr>
        <w:t xml:space="preserve">والمرهونة ضمانا للتمويل المصرفي الذي تحصلت عليه من المستأنف ضده الأول </w:t>
      </w:r>
      <w:r w:rsidRPr="002754E4">
        <w:rPr>
          <w:sz w:val="32"/>
          <w:szCs w:val="32"/>
        </w:rPr>
        <w:t xml:space="preserve">- </w:t>
      </w:r>
      <w:r w:rsidRPr="002754E4">
        <w:rPr>
          <w:sz w:val="32"/>
          <w:szCs w:val="32"/>
          <w:rtl/>
        </w:rPr>
        <w:t xml:space="preserve">صندوق بوبيان المالي </w:t>
      </w:r>
      <w:r w:rsidRPr="002754E4">
        <w:rPr>
          <w:sz w:val="32"/>
          <w:szCs w:val="32"/>
        </w:rPr>
        <w:t xml:space="preserve">- </w:t>
      </w:r>
      <w:r w:rsidRPr="002754E4">
        <w:rPr>
          <w:sz w:val="32"/>
          <w:szCs w:val="32"/>
          <w:rtl/>
        </w:rPr>
        <w:t xml:space="preserve">بتاريخ </w:t>
      </w:r>
      <w:r w:rsidRPr="002754E4">
        <w:rPr>
          <w:sz w:val="32"/>
          <w:szCs w:val="32"/>
        </w:rPr>
        <w:t xml:space="preserve">2008/7/30 </w:t>
      </w:r>
      <w:r w:rsidRPr="002754E4">
        <w:rPr>
          <w:sz w:val="32"/>
          <w:szCs w:val="32"/>
          <w:rtl/>
        </w:rPr>
        <w:t>وما إذا كان المستأنف ضده الأول قد تحصل على ناتج بيع أسهم تلك المحفظة وكذلك المبلغ الذي كان موجوداً بها وقدره 665/872.951 د.ك، وما إذا كان ما تحصل عليه من مبالغ يمثل سدداً لمديونية المستأنفة الثابتة بالسند الإذني سالف البيان أم سدادا لمديونيات أخرى، وبيان المركز المالي الحالي للشركة المستأنفة وما إذا كان نشاطها متوقفاً من عدمه، وفى الحالة الأولي بيان أسباب توقف النشاط</w:t>
      </w:r>
      <w:r w:rsidRPr="002754E4">
        <w:rPr>
          <w:sz w:val="32"/>
          <w:szCs w:val="32"/>
        </w:rPr>
        <w:t xml:space="preserve">. </w:t>
      </w:r>
      <w:r w:rsidRPr="002754E4">
        <w:rPr>
          <w:sz w:val="32"/>
          <w:szCs w:val="32"/>
          <w:rtl/>
        </w:rPr>
        <w:t xml:space="preserve">وبالجملة تحقيق أوجه دفاع الطرفين في هذا الخصوص وذلك بذات الصلاحيات المخولة له بموجب الحكم سالف البيان وبأمانة تكميلية قدرها </w:t>
      </w:r>
      <w:r w:rsidRPr="002754E4">
        <w:rPr>
          <w:sz w:val="32"/>
          <w:szCs w:val="32"/>
        </w:rPr>
        <w:t xml:space="preserve">- </w:t>
      </w:r>
      <w:r w:rsidRPr="002754E4">
        <w:rPr>
          <w:sz w:val="32"/>
          <w:szCs w:val="32"/>
          <w:rtl/>
        </w:rPr>
        <w:t xml:space="preserve">مائة دينار كويتي </w:t>
      </w:r>
      <w:r w:rsidRPr="002754E4">
        <w:rPr>
          <w:sz w:val="32"/>
          <w:szCs w:val="32"/>
        </w:rPr>
        <w:t xml:space="preserve">- </w:t>
      </w:r>
      <w:r w:rsidRPr="002754E4">
        <w:rPr>
          <w:sz w:val="32"/>
          <w:szCs w:val="32"/>
          <w:rtl/>
        </w:rPr>
        <w:t xml:space="preserve">ألزمت المستأنفة بسدادها وحددت جلسة 2014/6/25 لنظر الاستئناف في حالة عدم سداد الأمانة ويوم </w:t>
      </w:r>
      <w:r w:rsidRPr="002754E4">
        <w:rPr>
          <w:sz w:val="32"/>
          <w:szCs w:val="32"/>
        </w:rPr>
        <w:t xml:space="preserve">2014/7/16 </w:t>
      </w:r>
      <w:r w:rsidRPr="002754E4">
        <w:rPr>
          <w:sz w:val="32"/>
          <w:szCs w:val="32"/>
          <w:rtl/>
        </w:rPr>
        <w:t>لحضور الخصوم أمام الخبير في حالة سداد الأمانة، وجلسة 2014/10/8 حتى يقدم الخبير تقريره وأبقت الفصل في المصروفات وعلى إدارة الكتاب أعلان الغائب من الخصوم بمنطوق الحكم</w:t>
      </w:r>
      <w:r w:rsidRPr="002754E4">
        <w:rPr>
          <w:sz w:val="32"/>
          <w:szCs w:val="32"/>
        </w:rPr>
        <w:t>.</w:t>
      </w:r>
    </w:p>
    <w:p w:rsidR="002754E4" w:rsidRPr="002754E4" w:rsidRDefault="002754E4" w:rsidP="002754E4">
      <w:pPr>
        <w:rPr>
          <w:sz w:val="32"/>
          <w:szCs w:val="32"/>
        </w:rPr>
      </w:pPr>
      <w:bookmarkStart w:id="27" w:name="Anchor735"/>
      <w:bookmarkEnd w:id="27"/>
      <w:r w:rsidRPr="002754E4">
        <w:rPr>
          <w:b/>
          <w:bCs/>
          <w:sz w:val="32"/>
          <w:szCs w:val="32"/>
          <w:rtl/>
        </w:rPr>
        <w:t>ثالثا</w:t>
      </w:r>
      <w:r w:rsidRPr="002754E4">
        <w:rPr>
          <w:b/>
          <w:bCs/>
          <w:sz w:val="32"/>
          <w:szCs w:val="32"/>
        </w:rPr>
        <w:t>:-</w:t>
      </w:r>
      <w:r w:rsidRPr="002754E4">
        <w:rPr>
          <w:sz w:val="32"/>
          <w:szCs w:val="32"/>
        </w:rPr>
        <w:t xml:space="preserve"> </w:t>
      </w:r>
      <w:r w:rsidRPr="002754E4">
        <w:rPr>
          <w:sz w:val="32"/>
          <w:szCs w:val="32"/>
          <w:rtl/>
        </w:rPr>
        <w:t>في موضوع الطعن رقم 1279 لسنة 2012 بإنتهاء الخصومة في الطعن وألزمت الطاعن المصروفات وعشرين ديناراً مقابل أتعاب المحاماة</w:t>
      </w:r>
      <w:r w:rsidRPr="002754E4">
        <w:rPr>
          <w:sz w:val="32"/>
          <w:szCs w:val="32"/>
        </w:rPr>
        <w:t>.</w:t>
      </w:r>
    </w:p>
    <w:p w:rsidR="002754E4" w:rsidRPr="002754E4" w:rsidRDefault="002754E4" w:rsidP="002754E4">
      <w:pPr>
        <w:rPr>
          <w:sz w:val="32"/>
          <w:szCs w:val="32"/>
        </w:rPr>
      </w:pPr>
    </w:p>
    <w:p w:rsidR="002754E4" w:rsidRPr="002754E4" w:rsidRDefault="002754E4" w:rsidP="002754E4">
      <w:pPr>
        <w:rPr>
          <w:sz w:val="32"/>
          <w:szCs w:val="32"/>
        </w:rPr>
      </w:pPr>
      <w:bookmarkStart w:id="28" w:name="Anchor748"/>
      <w:bookmarkEnd w:id="28"/>
      <w:r w:rsidRPr="002754E4">
        <w:rPr>
          <w:sz w:val="32"/>
          <w:szCs w:val="32"/>
        </w:rPr>
        <w:t>* * *</w:t>
      </w:r>
    </w:p>
    <w:p w:rsidR="008C2BA0" w:rsidRPr="002754E4" w:rsidRDefault="008C2BA0">
      <w:pPr>
        <w:rPr>
          <w:sz w:val="32"/>
          <w:szCs w:val="32"/>
        </w:rPr>
      </w:pPr>
    </w:p>
    <w:sectPr w:rsidR="008C2BA0" w:rsidRPr="002754E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41"/>
    <w:rsid w:val="0003272B"/>
    <w:rsid w:val="002754E4"/>
    <w:rsid w:val="008C2BA0"/>
    <w:rsid w:val="00D35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2754E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4E4"/>
    <w:rPr>
      <w:color w:val="0000FF"/>
      <w:u w:val="single"/>
    </w:rPr>
  </w:style>
  <w:style w:type="character" w:styleId="FollowedHyperlink">
    <w:name w:val="FollowedHyperlink"/>
    <w:basedOn w:val="DefaultParagraphFont"/>
    <w:uiPriority w:val="99"/>
    <w:semiHidden/>
    <w:unhideWhenUsed/>
    <w:rsid w:val="002754E4"/>
    <w:rPr>
      <w:color w:val="800080"/>
      <w:u w:val="single"/>
    </w:rPr>
  </w:style>
  <w:style w:type="paragraph" w:styleId="NormalWeb">
    <w:name w:val="Normal (Web)"/>
    <w:basedOn w:val="Normal"/>
    <w:uiPriority w:val="99"/>
    <w:semiHidden/>
    <w:unhideWhenUsed/>
    <w:rsid w:val="002754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2754E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4E4"/>
    <w:rPr>
      <w:color w:val="0000FF"/>
      <w:u w:val="single"/>
    </w:rPr>
  </w:style>
  <w:style w:type="character" w:styleId="FollowedHyperlink">
    <w:name w:val="FollowedHyperlink"/>
    <w:basedOn w:val="DefaultParagraphFont"/>
    <w:uiPriority w:val="99"/>
    <w:semiHidden/>
    <w:unhideWhenUsed/>
    <w:rsid w:val="002754E4"/>
    <w:rPr>
      <w:color w:val="800080"/>
      <w:u w:val="single"/>
    </w:rPr>
  </w:style>
  <w:style w:type="paragraph" w:styleId="NormalWeb">
    <w:name w:val="Normal (Web)"/>
    <w:basedOn w:val="Normal"/>
    <w:uiPriority w:val="99"/>
    <w:semiHidden/>
    <w:unhideWhenUsed/>
    <w:rsid w:val="002754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8742">
      <w:bodyDiv w:val="1"/>
      <w:marLeft w:val="0"/>
      <w:marRight w:val="0"/>
      <w:marTop w:val="0"/>
      <w:marBottom w:val="0"/>
      <w:divBdr>
        <w:top w:val="none" w:sz="0" w:space="0" w:color="auto"/>
        <w:left w:val="none" w:sz="0" w:space="0" w:color="auto"/>
        <w:bottom w:val="none" w:sz="0" w:space="0" w:color="auto"/>
        <w:right w:val="none" w:sz="0" w:space="0" w:color="auto"/>
      </w:divBdr>
      <w:divsChild>
        <w:div w:id="2093575924">
          <w:marLeft w:val="0"/>
          <w:marRight w:val="0"/>
          <w:marTop w:val="0"/>
          <w:marBottom w:val="0"/>
          <w:divBdr>
            <w:top w:val="none" w:sz="0" w:space="0" w:color="auto"/>
            <w:left w:val="none" w:sz="0" w:space="0" w:color="auto"/>
            <w:bottom w:val="none" w:sz="0" w:space="0" w:color="auto"/>
            <w:right w:val="none" w:sz="0" w:space="0" w:color="auto"/>
          </w:divBdr>
        </w:div>
        <w:div w:id="584723334">
          <w:marLeft w:val="0"/>
          <w:marRight w:val="0"/>
          <w:marTop w:val="0"/>
          <w:marBottom w:val="0"/>
          <w:divBdr>
            <w:top w:val="none" w:sz="0" w:space="0" w:color="auto"/>
            <w:left w:val="none" w:sz="0" w:space="0" w:color="auto"/>
            <w:bottom w:val="none" w:sz="0" w:space="0" w:color="auto"/>
            <w:right w:val="none" w:sz="0" w:space="0" w:color="auto"/>
          </w:divBdr>
        </w:div>
        <w:div w:id="1311322218">
          <w:marLeft w:val="0"/>
          <w:marRight w:val="0"/>
          <w:marTop w:val="0"/>
          <w:marBottom w:val="0"/>
          <w:divBdr>
            <w:top w:val="none" w:sz="0" w:space="0" w:color="auto"/>
            <w:left w:val="none" w:sz="0" w:space="0" w:color="auto"/>
            <w:bottom w:val="none" w:sz="0" w:space="0" w:color="auto"/>
            <w:right w:val="none" w:sz="0" w:space="0" w:color="auto"/>
          </w:divBdr>
        </w:div>
        <w:div w:id="1865316105">
          <w:marLeft w:val="0"/>
          <w:marRight w:val="0"/>
          <w:marTop w:val="0"/>
          <w:marBottom w:val="0"/>
          <w:divBdr>
            <w:top w:val="none" w:sz="0" w:space="0" w:color="auto"/>
            <w:left w:val="none" w:sz="0" w:space="0" w:color="auto"/>
            <w:bottom w:val="none" w:sz="0" w:space="0" w:color="auto"/>
            <w:right w:val="none" w:sz="0" w:space="0" w:color="auto"/>
          </w:divBdr>
        </w:div>
        <w:div w:id="837571908">
          <w:marLeft w:val="0"/>
          <w:marRight w:val="0"/>
          <w:marTop w:val="0"/>
          <w:marBottom w:val="0"/>
          <w:divBdr>
            <w:top w:val="none" w:sz="0" w:space="0" w:color="auto"/>
            <w:left w:val="none" w:sz="0" w:space="0" w:color="auto"/>
            <w:bottom w:val="none" w:sz="0" w:space="0" w:color="auto"/>
            <w:right w:val="none" w:sz="0" w:space="0" w:color="auto"/>
          </w:divBdr>
        </w:div>
        <w:div w:id="1010646260">
          <w:marLeft w:val="0"/>
          <w:marRight w:val="0"/>
          <w:marTop w:val="0"/>
          <w:marBottom w:val="0"/>
          <w:divBdr>
            <w:top w:val="none" w:sz="0" w:space="0" w:color="auto"/>
            <w:left w:val="none" w:sz="0" w:space="0" w:color="auto"/>
            <w:bottom w:val="none" w:sz="0" w:space="0" w:color="auto"/>
            <w:right w:val="none" w:sz="0" w:space="0" w:color="auto"/>
          </w:divBdr>
        </w:div>
        <w:div w:id="1785691670">
          <w:marLeft w:val="0"/>
          <w:marRight w:val="0"/>
          <w:marTop w:val="0"/>
          <w:marBottom w:val="0"/>
          <w:divBdr>
            <w:top w:val="none" w:sz="0" w:space="0" w:color="auto"/>
            <w:left w:val="none" w:sz="0" w:space="0" w:color="auto"/>
            <w:bottom w:val="none" w:sz="0" w:space="0" w:color="auto"/>
            <w:right w:val="none" w:sz="0" w:space="0" w:color="auto"/>
          </w:divBdr>
        </w:div>
        <w:div w:id="1202596500">
          <w:marLeft w:val="0"/>
          <w:marRight w:val="0"/>
          <w:marTop w:val="0"/>
          <w:marBottom w:val="0"/>
          <w:divBdr>
            <w:top w:val="none" w:sz="0" w:space="0" w:color="auto"/>
            <w:left w:val="none" w:sz="0" w:space="0" w:color="auto"/>
            <w:bottom w:val="none" w:sz="0" w:space="0" w:color="auto"/>
            <w:right w:val="none" w:sz="0" w:space="0" w:color="auto"/>
          </w:divBdr>
        </w:div>
        <w:div w:id="1979873759">
          <w:marLeft w:val="0"/>
          <w:marRight w:val="0"/>
          <w:marTop w:val="0"/>
          <w:marBottom w:val="0"/>
          <w:divBdr>
            <w:top w:val="none" w:sz="0" w:space="0" w:color="auto"/>
            <w:left w:val="none" w:sz="0" w:space="0" w:color="auto"/>
            <w:bottom w:val="none" w:sz="0" w:space="0" w:color="auto"/>
            <w:right w:val="none" w:sz="0" w:space="0" w:color="auto"/>
          </w:divBdr>
        </w:div>
        <w:div w:id="413433830">
          <w:marLeft w:val="0"/>
          <w:marRight w:val="0"/>
          <w:marTop w:val="0"/>
          <w:marBottom w:val="0"/>
          <w:divBdr>
            <w:top w:val="none" w:sz="0" w:space="0" w:color="auto"/>
            <w:left w:val="none" w:sz="0" w:space="0" w:color="auto"/>
            <w:bottom w:val="none" w:sz="0" w:space="0" w:color="auto"/>
            <w:right w:val="none" w:sz="0" w:space="0" w:color="auto"/>
          </w:divBdr>
        </w:div>
        <w:div w:id="1536196414">
          <w:marLeft w:val="0"/>
          <w:marRight w:val="0"/>
          <w:marTop w:val="0"/>
          <w:marBottom w:val="0"/>
          <w:divBdr>
            <w:top w:val="none" w:sz="0" w:space="0" w:color="auto"/>
            <w:left w:val="none" w:sz="0" w:space="0" w:color="auto"/>
            <w:bottom w:val="none" w:sz="0" w:space="0" w:color="auto"/>
            <w:right w:val="none" w:sz="0" w:space="0" w:color="auto"/>
          </w:divBdr>
        </w:div>
        <w:div w:id="190457679">
          <w:marLeft w:val="0"/>
          <w:marRight w:val="0"/>
          <w:marTop w:val="0"/>
          <w:marBottom w:val="0"/>
          <w:divBdr>
            <w:top w:val="none" w:sz="0" w:space="0" w:color="auto"/>
            <w:left w:val="none" w:sz="0" w:space="0" w:color="auto"/>
            <w:bottom w:val="none" w:sz="0" w:space="0" w:color="auto"/>
            <w:right w:val="none" w:sz="0" w:space="0" w:color="auto"/>
          </w:divBdr>
        </w:div>
        <w:div w:id="38743785">
          <w:marLeft w:val="0"/>
          <w:marRight w:val="0"/>
          <w:marTop w:val="0"/>
          <w:marBottom w:val="0"/>
          <w:divBdr>
            <w:top w:val="none" w:sz="0" w:space="0" w:color="auto"/>
            <w:left w:val="none" w:sz="0" w:space="0" w:color="auto"/>
            <w:bottom w:val="none" w:sz="0" w:space="0" w:color="auto"/>
            <w:right w:val="none" w:sz="0" w:space="0" w:color="auto"/>
          </w:divBdr>
        </w:div>
        <w:div w:id="910116806">
          <w:marLeft w:val="0"/>
          <w:marRight w:val="0"/>
          <w:marTop w:val="0"/>
          <w:marBottom w:val="0"/>
          <w:divBdr>
            <w:top w:val="none" w:sz="0" w:space="0" w:color="auto"/>
            <w:left w:val="none" w:sz="0" w:space="0" w:color="auto"/>
            <w:bottom w:val="none" w:sz="0" w:space="0" w:color="auto"/>
            <w:right w:val="none" w:sz="0" w:space="0" w:color="auto"/>
          </w:divBdr>
        </w:div>
        <w:div w:id="300892825">
          <w:marLeft w:val="0"/>
          <w:marRight w:val="0"/>
          <w:marTop w:val="0"/>
          <w:marBottom w:val="0"/>
          <w:divBdr>
            <w:top w:val="none" w:sz="0" w:space="0" w:color="auto"/>
            <w:left w:val="none" w:sz="0" w:space="0" w:color="auto"/>
            <w:bottom w:val="none" w:sz="0" w:space="0" w:color="auto"/>
            <w:right w:val="none" w:sz="0" w:space="0" w:color="auto"/>
          </w:divBdr>
        </w:div>
        <w:div w:id="171378224">
          <w:marLeft w:val="0"/>
          <w:marRight w:val="0"/>
          <w:marTop w:val="0"/>
          <w:marBottom w:val="0"/>
          <w:divBdr>
            <w:top w:val="none" w:sz="0" w:space="0" w:color="auto"/>
            <w:left w:val="none" w:sz="0" w:space="0" w:color="auto"/>
            <w:bottom w:val="none" w:sz="0" w:space="0" w:color="auto"/>
            <w:right w:val="none" w:sz="0" w:space="0" w:color="auto"/>
          </w:divBdr>
        </w:div>
        <w:div w:id="1703628804">
          <w:marLeft w:val="0"/>
          <w:marRight w:val="0"/>
          <w:marTop w:val="0"/>
          <w:marBottom w:val="0"/>
          <w:divBdr>
            <w:top w:val="none" w:sz="0" w:space="0" w:color="auto"/>
            <w:left w:val="none" w:sz="0" w:space="0" w:color="auto"/>
            <w:bottom w:val="none" w:sz="0" w:space="0" w:color="auto"/>
            <w:right w:val="none" w:sz="0" w:space="0" w:color="auto"/>
          </w:divBdr>
        </w:div>
        <w:div w:id="1480075643">
          <w:marLeft w:val="0"/>
          <w:marRight w:val="0"/>
          <w:marTop w:val="0"/>
          <w:marBottom w:val="0"/>
          <w:divBdr>
            <w:top w:val="none" w:sz="0" w:space="0" w:color="auto"/>
            <w:left w:val="none" w:sz="0" w:space="0" w:color="auto"/>
            <w:bottom w:val="none" w:sz="0" w:space="0" w:color="auto"/>
            <w:right w:val="none" w:sz="0" w:space="0" w:color="auto"/>
          </w:divBdr>
        </w:div>
        <w:div w:id="2025814960">
          <w:marLeft w:val="0"/>
          <w:marRight w:val="0"/>
          <w:marTop w:val="0"/>
          <w:marBottom w:val="0"/>
          <w:divBdr>
            <w:top w:val="none" w:sz="0" w:space="0" w:color="auto"/>
            <w:left w:val="none" w:sz="0" w:space="0" w:color="auto"/>
            <w:bottom w:val="none" w:sz="0" w:space="0" w:color="auto"/>
            <w:right w:val="none" w:sz="0" w:space="0" w:color="auto"/>
          </w:divBdr>
        </w:div>
        <w:div w:id="1206988527">
          <w:marLeft w:val="0"/>
          <w:marRight w:val="0"/>
          <w:marTop w:val="0"/>
          <w:marBottom w:val="0"/>
          <w:divBdr>
            <w:top w:val="none" w:sz="0" w:space="0" w:color="auto"/>
            <w:left w:val="none" w:sz="0" w:space="0" w:color="auto"/>
            <w:bottom w:val="none" w:sz="0" w:space="0" w:color="auto"/>
            <w:right w:val="none" w:sz="0" w:space="0" w:color="auto"/>
          </w:divBdr>
        </w:div>
        <w:div w:id="717317588">
          <w:marLeft w:val="0"/>
          <w:marRight w:val="0"/>
          <w:marTop w:val="0"/>
          <w:marBottom w:val="0"/>
          <w:divBdr>
            <w:top w:val="none" w:sz="0" w:space="0" w:color="auto"/>
            <w:left w:val="none" w:sz="0" w:space="0" w:color="auto"/>
            <w:bottom w:val="none" w:sz="0" w:space="0" w:color="auto"/>
            <w:right w:val="none" w:sz="0" w:space="0" w:color="auto"/>
          </w:divBdr>
        </w:div>
        <w:div w:id="775947010">
          <w:marLeft w:val="0"/>
          <w:marRight w:val="0"/>
          <w:marTop w:val="0"/>
          <w:marBottom w:val="0"/>
          <w:divBdr>
            <w:top w:val="none" w:sz="0" w:space="0" w:color="auto"/>
            <w:left w:val="none" w:sz="0" w:space="0" w:color="auto"/>
            <w:bottom w:val="none" w:sz="0" w:space="0" w:color="auto"/>
            <w:right w:val="none" w:sz="0" w:space="0" w:color="auto"/>
          </w:divBdr>
        </w:div>
        <w:div w:id="2046638875">
          <w:marLeft w:val="0"/>
          <w:marRight w:val="0"/>
          <w:marTop w:val="0"/>
          <w:marBottom w:val="0"/>
          <w:divBdr>
            <w:top w:val="none" w:sz="0" w:space="0" w:color="auto"/>
            <w:left w:val="none" w:sz="0" w:space="0" w:color="auto"/>
            <w:bottom w:val="none" w:sz="0" w:space="0" w:color="auto"/>
            <w:right w:val="none" w:sz="0" w:space="0" w:color="auto"/>
          </w:divBdr>
        </w:div>
      </w:divsChild>
    </w:div>
    <w:div w:id="1310789482">
      <w:bodyDiv w:val="1"/>
      <w:marLeft w:val="0"/>
      <w:marRight w:val="0"/>
      <w:marTop w:val="0"/>
      <w:marBottom w:val="0"/>
      <w:divBdr>
        <w:top w:val="none" w:sz="0" w:space="0" w:color="auto"/>
        <w:left w:val="none" w:sz="0" w:space="0" w:color="auto"/>
        <w:bottom w:val="none" w:sz="0" w:space="0" w:color="auto"/>
        <w:right w:val="none" w:sz="0" w:space="0" w:color="auto"/>
      </w:divBdr>
      <w:divsChild>
        <w:div w:id="1685979759">
          <w:marLeft w:val="0"/>
          <w:marRight w:val="0"/>
          <w:marTop w:val="0"/>
          <w:marBottom w:val="0"/>
          <w:divBdr>
            <w:top w:val="none" w:sz="0" w:space="0" w:color="auto"/>
            <w:left w:val="none" w:sz="0" w:space="0" w:color="auto"/>
            <w:bottom w:val="none" w:sz="0" w:space="0" w:color="auto"/>
            <w:right w:val="none" w:sz="0" w:space="0" w:color="auto"/>
          </w:divBdr>
        </w:div>
        <w:div w:id="1523738412">
          <w:marLeft w:val="0"/>
          <w:marRight w:val="0"/>
          <w:marTop w:val="0"/>
          <w:marBottom w:val="0"/>
          <w:divBdr>
            <w:top w:val="none" w:sz="0" w:space="0" w:color="auto"/>
            <w:left w:val="none" w:sz="0" w:space="0" w:color="auto"/>
            <w:bottom w:val="none" w:sz="0" w:space="0" w:color="auto"/>
            <w:right w:val="none" w:sz="0" w:space="0" w:color="auto"/>
          </w:divBdr>
        </w:div>
        <w:div w:id="739718041">
          <w:marLeft w:val="0"/>
          <w:marRight w:val="0"/>
          <w:marTop w:val="0"/>
          <w:marBottom w:val="0"/>
          <w:divBdr>
            <w:top w:val="none" w:sz="0" w:space="0" w:color="auto"/>
            <w:left w:val="none" w:sz="0" w:space="0" w:color="auto"/>
            <w:bottom w:val="none" w:sz="0" w:space="0" w:color="auto"/>
            <w:right w:val="none" w:sz="0" w:space="0" w:color="auto"/>
          </w:divBdr>
        </w:div>
        <w:div w:id="396438216">
          <w:marLeft w:val="0"/>
          <w:marRight w:val="0"/>
          <w:marTop w:val="0"/>
          <w:marBottom w:val="0"/>
          <w:divBdr>
            <w:top w:val="none" w:sz="0" w:space="0" w:color="auto"/>
            <w:left w:val="none" w:sz="0" w:space="0" w:color="auto"/>
            <w:bottom w:val="none" w:sz="0" w:space="0" w:color="auto"/>
            <w:right w:val="none" w:sz="0" w:space="0" w:color="auto"/>
          </w:divBdr>
        </w:div>
        <w:div w:id="1415201956">
          <w:marLeft w:val="0"/>
          <w:marRight w:val="0"/>
          <w:marTop w:val="0"/>
          <w:marBottom w:val="0"/>
          <w:divBdr>
            <w:top w:val="none" w:sz="0" w:space="0" w:color="auto"/>
            <w:left w:val="none" w:sz="0" w:space="0" w:color="auto"/>
            <w:bottom w:val="none" w:sz="0" w:space="0" w:color="auto"/>
            <w:right w:val="none" w:sz="0" w:space="0" w:color="auto"/>
          </w:divBdr>
        </w:div>
        <w:div w:id="1537808769">
          <w:marLeft w:val="0"/>
          <w:marRight w:val="0"/>
          <w:marTop w:val="0"/>
          <w:marBottom w:val="0"/>
          <w:divBdr>
            <w:top w:val="none" w:sz="0" w:space="0" w:color="auto"/>
            <w:left w:val="none" w:sz="0" w:space="0" w:color="auto"/>
            <w:bottom w:val="none" w:sz="0" w:space="0" w:color="auto"/>
            <w:right w:val="none" w:sz="0" w:space="0" w:color="auto"/>
          </w:divBdr>
        </w:div>
        <w:div w:id="1844474146">
          <w:marLeft w:val="0"/>
          <w:marRight w:val="0"/>
          <w:marTop w:val="0"/>
          <w:marBottom w:val="0"/>
          <w:divBdr>
            <w:top w:val="none" w:sz="0" w:space="0" w:color="auto"/>
            <w:left w:val="none" w:sz="0" w:space="0" w:color="auto"/>
            <w:bottom w:val="none" w:sz="0" w:space="0" w:color="auto"/>
            <w:right w:val="none" w:sz="0" w:space="0" w:color="auto"/>
          </w:divBdr>
        </w:div>
        <w:div w:id="1336347664">
          <w:marLeft w:val="0"/>
          <w:marRight w:val="0"/>
          <w:marTop w:val="0"/>
          <w:marBottom w:val="0"/>
          <w:divBdr>
            <w:top w:val="none" w:sz="0" w:space="0" w:color="auto"/>
            <w:left w:val="none" w:sz="0" w:space="0" w:color="auto"/>
            <w:bottom w:val="none" w:sz="0" w:space="0" w:color="auto"/>
            <w:right w:val="none" w:sz="0" w:space="0" w:color="auto"/>
          </w:divBdr>
        </w:div>
        <w:div w:id="1614244683">
          <w:marLeft w:val="0"/>
          <w:marRight w:val="0"/>
          <w:marTop w:val="0"/>
          <w:marBottom w:val="0"/>
          <w:divBdr>
            <w:top w:val="none" w:sz="0" w:space="0" w:color="auto"/>
            <w:left w:val="none" w:sz="0" w:space="0" w:color="auto"/>
            <w:bottom w:val="none" w:sz="0" w:space="0" w:color="auto"/>
            <w:right w:val="none" w:sz="0" w:space="0" w:color="auto"/>
          </w:divBdr>
        </w:div>
        <w:div w:id="1457023446">
          <w:marLeft w:val="0"/>
          <w:marRight w:val="0"/>
          <w:marTop w:val="0"/>
          <w:marBottom w:val="0"/>
          <w:divBdr>
            <w:top w:val="none" w:sz="0" w:space="0" w:color="auto"/>
            <w:left w:val="none" w:sz="0" w:space="0" w:color="auto"/>
            <w:bottom w:val="none" w:sz="0" w:space="0" w:color="auto"/>
            <w:right w:val="none" w:sz="0" w:space="0" w:color="auto"/>
          </w:divBdr>
        </w:div>
        <w:div w:id="1588733630">
          <w:marLeft w:val="0"/>
          <w:marRight w:val="0"/>
          <w:marTop w:val="0"/>
          <w:marBottom w:val="0"/>
          <w:divBdr>
            <w:top w:val="none" w:sz="0" w:space="0" w:color="auto"/>
            <w:left w:val="none" w:sz="0" w:space="0" w:color="auto"/>
            <w:bottom w:val="none" w:sz="0" w:space="0" w:color="auto"/>
            <w:right w:val="none" w:sz="0" w:space="0" w:color="auto"/>
          </w:divBdr>
        </w:div>
        <w:div w:id="1458524794">
          <w:marLeft w:val="0"/>
          <w:marRight w:val="0"/>
          <w:marTop w:val="0"/>
          <w:marBottom w:val="0"/>
          <w:divBdr>
            <w:top w:val="none" w:sz="0" w:space="0" w:color="auto"/>
            <w:left w:val="none" w:sz="0" w:space="0" w:color="auto"/>
            <w:bottom w:val="none" w:sz="0" w:space="0" w:color="auto"/>
            <w:right w:val="none" w:sz="0" w:space="0" w:color="auto"/>
          </w:divBdr>
        </w:div>
        <w:div w:id="568001022">
          <w:marLeft w:val="0"/>
          <w:marRight w:val="0"/>
          <w:marTop w:val="0"/>
          <w:marBottom w:val="0"/>
          <w:divBdr>
            <w:top w:val="none" w:sz="0" w:space="0" w:color="auto"/>
            <w:left w:val="none" w:sz="0" w:space="0" w:color="auto"/>
            <w:bottom w:val="none" w:sz="0" w:space="0" w:color="auto"/>
            <w:right w:val="none" w:sz="0" w:space="0" w:color="auto"/>
          </w:divBdr>
        </w:div>
        <w:div w:id="59253608">
          <w:marLeft w:val="0"/>
          <w:marRight w:val="0"/>
          <w:marTop w:val="0"/>
          <w:marBottom w:val="0"/>
          <w:divBdr>
            <w:top w:val="none" w:sz="0" w:space="0" w:color="auto"/>
            <w:left w:val="none" w:sz="0" w:space="0" w:color="auto"/>
            <w:bottom w:val="none" w:sz="0" w:space="0" w:color="auto"/>
            <w:right w:val="none" w:sz="0" w:space="0" w:color="auto"/>
          </w:divBdr>
        </w:div>
        <w:div w:id="1463037806">
          <w:marLeft w:val="0"/>
          <w:marRight w:val="0"/>
          <w:marTop w:val="0"/>
          <w:marBottom w:val="0"/>
          <w:divBdr>
            <w:top w:val="none" w:sz="0" w:space="0" w:color="auto"/>
            <w:left w:val="none" w:sz="0" w:space="0" w:color="auto"/>
            <w:bottom w:val="none" w:sz="0" w:space="0" w:color="auto"/>
            <w:right w:val="none" w:sz="0" w:space="0" w:color="auto"/>
          </w:divBdr>
        </w:div>
        <w:div w:id="688138458">
          <w:marLeft w:val="0"/>
          <w:marRight w:val="0"/>
          <w:marTop w:val="0"/>
          <w:marBottom w:val="0"/>
          <w:divBdr>
            <w:top w:val="none" w:sz="0" w:space="0" w:color="auto"/>
            <w:left w:val="none" w:sz="0" w:space="0" w:color="auto"/>
            <w:bottom w:val="none" w:sz="0" w:space="0" w:color="auto"/>
            <w:right w:val="none" w:sz="0" w:space="0" w:color="auto"/>
          </w:divBdr>
        </w:div>
        <w:div w:id="1104308569">
          <w:marLeft w:val="0"/>
          <w:marRight w:val="0"/>
          <w:marTop w:val="0"/>
          <w:marBottom w:val="0"/>
          <w:divBdr>
            <w:top w:val="none" w:sz="0" w:space="0" w:color="auto"/>
            <w:left w:val="none" w:sz="0" w:space="0" w:color="auto"/>
            <w:bottom w:val="none" w:sz="0" w:space="0" w:color="auto"/>
            <w:right w:val="none" w:sz="0" w:space="0" w:color="auto"/>
          </w:divBdr>
        </w:div>
        <w:div w:id="899436836">
          <w:marLeft w:val="0"/>
          <w:marRight w:val="0"/>
          <w:marTop w:val="0"/>
          <w:marBottom w:val="0"/>
          <w:divBdr>
            <w:top w:val="none" w:sz="0" w:space="0" w:color="auto"/>
            <w:left w:val="none" w:sz="0" w:space="0" w:color="auto"/>
            <w:bottom w:val="none" w:sz="0" w:space="0" w:color="auto"/>
            <w:right w:val="none" w:sz="0" w:space="0" w:color="auto"/>
          </w:divBdr>
        </w:div>
        <w:div w:id="1967663137">
          <w:marLeft w:val="0"/>
          <w:marRight w:val="0"/>
          <w:marTop w:val="0"/>
          <w:marBottom w:val="0"/>
          <w:divBdr>
            <w:top w:val="none" w:sz="0" w:space="0" w:color="auto"/>
            <w:left w:val="none" w:sz="0" w:space="0" w:color="auto"/>
            <w:bottom w:val="none" w:sz="0" w:space="0" w:color="auto"/>
            <w:right w:val="none" w:sz="0" w:space="0" w:color="auto"/>
          </w:divBdr>
        </w:div>
        <w:div w:id="2094818348">
          <w:marLeft w:val="0"/>
          <w:marRight w:val="0"/>
          <w:marTop w:val="0"/>
          <w:marBottom w:val="0"/>
          <w:divBdr>
            <w:top w:val="none" w:sz="0" w:space="0" w:color="auto"/>
            <w:left w:val="none" w:sz="0" w:space="0" w:color="auto"/>
            <w:bottom w:val="none" w:sz="0" w:space="0" w:color="auto"/>
            <w:right w:val="none" w:sz="0" w:space="0" w:color="auto"/>
          </w:divBdr>
        </w:div>
        <w:div w:id="60450810">
          <w:marLeft w:val="0"/>
          <w:marRight w:val="0"/>
          <w:marTop w:val="0"/>
          <w:marBottom w:val="0"/>
          <w:divBdr>
            <w:top w:val="none" w:sz="0" w:space="0" w:color="auto"/>
            <w:left w:val="none" w:sz="0" w:space="0" w:color="auto"/>
            <w:bottom w:val="none" w:sz="0" w:space="0" w:color="auto"/>
            <w:right w:val="none" w:sz="0" w:space="0" w:color="auto"/>
          </w:divBdr>
        </w:div>
        <w:div w:id="98064870">
          <w:marLeft w:val="0"/>
          <w:marRight w:val="0"/>
          <w:marTop w:val="0"/>
          <w:marBottom w:val="0"/>
          <w:divBdr>
            <w:top w:val="none" w:sz="0" w:space="0" w:color="auto"/>
            <w:left w:val="none" w:sz="0" w:space="0" w:color="auto"/>
            <w:bottom w:val="none" w:sz="0" w:space="0" w:color="auto"/>
            <w:right w:val="none" w:sz="0" w:space="0" w:color="auto"/>
          </w:divBdr>
        </w:div>
        <w:div w:id="177656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2020-04-26T11:55:00Z</dcterms:created>
  <dcterms:modified xsi:type="dcterms:W3CDTF">2020-04-26T11:55:00Z</dcterms:modified>
</cp:coreProperties>
</file>