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9B" w:rsidRPr="00DE699B" w:rsidRDefault="00DE699B" w:rsidP="00DE699B">
      <w:pPr>
        <w:jc w:val="center"/>
        <w:rPr>
          <w:sz w:val="32"/>
          <w:szCs w:val="32"/>
        </w:rPr>
      </w:pPr>
      <w:bookmarkStart w:id="0" w:name="Anchor1"/>
      <w:bookmarkEnd w:id="0"/>
      <w:r w:rsidRPr="00DE699B">
        <w:rPr>
          <w:sz w:val="32"/>
          <w:szCs w:val="32"/>
          <w:rtl/>
        </w:rPr>
        <w:t>الطعن رقم</w:t>
      </w:r>
      <w:bookmarkStart w:id="1" w:name="_GoBack"/>
      <w:bookmarkEnd w:id="1"/>
      <w:r w:rsidRPr="00DE699B">
        <w:rPr>
          <w:sz w:val="32"/>
          <w:szCs w:val="32"/>
          <w:rtl/>
        </w:rPr>
        <w:t xml:space="preserve"> 1238</w:t>
      </w:r>
    </w:p>
    <w:p w:rsidR="00DE699B" w:rsidRPr="00DE699B" w:rsidRDefault="00DE699B" w:rsidP="00DE699B">
      <w:pPr>
        <w:rPr>
          <w:sz w:val="32"/>
          <w:szCs w:val="32"/>
        </w:rPr>
      </w:pPr>
      <w:bookmarkStart w:id="2" w:name="Anchor5"/>
      <w:bookmarkEnd w:id="2"/>
      <w:r w:rsidRPr="00DE699B">
        <w:rPr>
          <w:sz w:val="32"/>
          <w:szCs w:val="32"/>
          <w:rtl/>
        </w:rPr>
        <w:t>هيئة المحكمة</w:t>
      </w:r>
      <w:r w:rsidRPr="00DE699B">
        <w:rPr>
          <w:sz w:val="32"/>
          <w:szCs w:val="32"/>
        </w:rPr>
        <w:t xml:space="preserve">: </w:t>
      </w:r>
      <w:r w:rsidRPr="00DE699B">
        <w:rPr>
          <w:sz w:val="32"/>
          <w:szCs w:val="32"/>
          <w:rtl/>
        </w:rPr>
        <w:t>برئاسة السيد المستشار عبدالعزيز الفهد وكيل المحكمة وعضوية السادة المستشارين يوسف العمران ومحمود التركاوي وعبدالرحمن مطاوع وضياء الدين أبو الحسن</w:t>
      </w:r>
    </w:p>
    <w:bookmarkStart w:id="3" w:name="Anchor26"/>
    <w:bookmarkEnd w:id="3"/>
    <w:p w:rsidR="00DE699B" w:rsidRPr="00DE699B" w:rsidRDefault="00DE699B" w:rsidP="00DE699B">
      <w:pPr>
        <w:rPr>
          <w:sz w:val="32"/>
          <w:szCs w:val="32"/>
        </w:rPr>
      </w:pPr>
      <w:r w:rsidRPr="00DE699B">
        <w:rPr>
          <w:sz w:val="32"/>
          <w:szCs w:val="32"/>
        </w:rPr>
        <w:fldChar w:fldCharType="begin"/>
      </w:r>
      <w:r w:rsidRPr="00DE699B">
        <w:rPr>
          <w:sz w:val="32"/>
          <w:szCs w:val="32"/>
        </w:rPr>
        <w:instrText xml:space="preserve"> HYPERLINK "http://www.law.gov.kw/KWT_CC-Ar/00_2014/00_%D8%A7%D9%84%D8%AF%D8%A7%D8%A6%D8%B1%D8%A9%20%D8%A7%D9%84%D8%AA%D8%AC%D8%A7%D8%B1%D9%8A%D8%A9/KWT-CC-Ar_2014-10-27_01238_Taan.html" \l "TM2014_1238_1" </w:instrText>
      </w:r>
      <w:r w:rsidRPr="00DE699B">
        <w:rPr>
          <w:sz w:val="32"/>
          <w:szCs w:val="32"/>
        </w:rPr>
        <w:fldChar w:fldCharType="separate"/>
      </w:r>
      <w:r w:rsidRPr="00DE699B">
        <w:rPr>
          <w:rStyle w:val="Hyperlink"/>
          <w:sz w:val="32"/>
          <w:szCs w:val="32"/>
        </w:rPr>
        <w:t xml:space="preserve">1- </w:t>
      </w:r>
      <w:r w:rsidRPr="00DE699B">
        <w:rPr>
          <w:rStyle w:val="Hyperlink"/>
          <w:sz w:val="32"/>
          <w:szCs w:val="32"/>
          <w:rtl/>
        </w:rPr>
        <w:t>ان لمحكمة الموضوع سلطة تحصيل وفهم الواقع في الدعوى وتقدير الادلة والمستندات المقدمة فيها وحسبها ان تبين الحقيقة التي اقتنعت بها</w:t>
      </w:r>
      <w:r w:rsidRPr="00DE699B">
        <w:rPr>
          <w:rStyle w:val="Hyperlink"/>
          <w:sz w:val="32"/>
          <w:szCs w:val="32"/>
        </w:rPr>
        <w:t>.</w:t>
      </w:r>
      <w:r w:rsidRPr="00DE699B">
        <w:rPr>
          <w:sz w:val="32"/>
          <w:szCs w:val="32"/>
        </w:rPr>
        <w:fldChar w:fldCharType="end"/>
      </w:r>
    </w:p>
    <w:bookmarkStart w:id="4" w:name="Anchor41"/>
    <w:bookmarkEnd w:id="4"/>
    <w:p w:rsidR="00DE699B" w:rsidRPr="00DE699B" w:rsidRDefault="00DE699B" w:rsidP="00DE699B">
      <w:pPr>
        <w:rPr>
          <w:sz w:val="32"/>
          <w:szCs w:val="32"/>
        </w:rPr>
      </w:pPr>
      <w:r w:rsidRPr="00DE699B">
        <w:rPr>
          <w:sz w:val="32"/>
          <w:szCs w:val="32"/>
        </w:rPr>
        <w:fldChar w:fldCharType="begin"/>
      </w:r>
      <w:r w:rsidRPr="00DE699B">
        <w:rPr>
          <w:sz w:val="32"/>
          <w:szCs w:val="32"/>
        </w:rPr>
        <w:instrText xml:space="preserve"> HYPERLINK "http://www.law.gov.kw/KWT_CC-Ar/00_2014/00_%D8%A7%D9%84%D8%AF%D8%A7%D8%A6%D8%B1%D8%A9%20%D8%A7%D9%84%D8%AA%D8%AC%D8%A7%D8%B1%D9%8A%D8%A9/KWT-CC-Ar_2014-10-27_01238_Taan.html" \l "TM2014_1238_2" </w:instrText>
      </w:r>
      <w:r w:rsidRPr="00DE699B">
        <w:rPr>
          <w:sz w:val="32"/>
          <w:szCs w:val="32"/>
        </w:rPr>
        <w:fldChar w:fldCharType="separate"/>
      </w:r>
      <w:r w:rsidRPr="00DE699B">
        <w:rPr>
          <w:rStyle w:val="Hyperlink"/>
          <w:sz w:val="32"/>
          <w:szCs w:val="32"/>
        </w:rPr>
        <w:t xml:space="preserve">2- </w:t>
      </w:r>
      <w:r w:rsidRPr="00DE699B">
        <w:rPr>
          <w:rStyle w:val="Hyperlink"/>
          <w:sz w:val="32"/>
          <w:szCs w:val="32"/>
          <w:rtl/>
        </w:rPr>
        <w:t>ان المحكمة لا تلتزم بندب خبير طالما وجدت في اوراق الدعوى ما يكفي لتكوين عقيدتها للفصل فيها</w:t>
      </w:r>
      <w:r w:rsidRPr="00DE699B">
        <w:rPr>
          <w:rStyle w:val="Hyperlink"/>
          <w:sz w:val="32"/>
          <w:szCs w:val="32"/>
        </w:rPr>
        <w:t>.</w:t>
      </w:r>
      <w:r w:rsidRPr="00DE699B">
        <w:rPr>
          <w:sz w:val="32"/>
          <w:szCs w:val="32"/>
        </w:rPr>
        <w:fldChar w:fldCharType="end"/>
      </w:r>
    </w:p>
    <w:bookmarkStart w:id="5" w:name="Anchor51"/>
    <w:bookmarkEnd w:id="5"/>
    <w:p w:rsidR="00DE699B" w:rsidRPr="00DE699B" w:rsidRDefault="00DE699B" w:rsidP="00DE699B">
      <w:pPr>
        <w:rPr>
          <w:sz w:val="32"/>
          <w:szCs w:val="32"/>
        </w:rPr>
      </w:pPr>
      <w:r w:rsidRPr="00DE699B">
        <w:rPr>
          <w:sz w:val="32"/>
          <w:szCs w:val="32"/>
        </w:rPr>
        <w:fldChar w:fldCharType="begin"/>
      </w:r>
      <w:r w:rsidRPr="00DE699B">
        <w:rPr>
          <w:sz w:val="32"/>
          <w:szCs w:val="32"/>
        </w:rPr>
        <w:instrText xml:space="preserve"> HYPERLINK "http://www.law.gov.kw/KWT_CC-Ar/00_2014/00_%D8%A7%D9%84%D8%AF%D8%A7%D8%A6%D8%B1%D8%A9%20%D8%A7%D9%84%D8%AA%D8%AC%D8%A7%D8%B1%D9%8A%D8%A9/KWT-CC-Ar_2014-10-27_01238_Taan.html" \l "TM2014_1238_3" </w:instrText>
      </w:r>
      <w:r w:rsidRPr="00DE699B">
        <w:rPr>
          <w:sz w:val="32"/>
          <w:szCs w:val="32"/>
        </w:rPr>
        <w:fldChar w:fldCharType="separate"/>
      </w:r>
      <w:r w:rsidRPr="00DE699B">
        <w:rPr>
          <w:rStyle w:val="Hyperlink"/>
          <w:sz w:val="32"/>
          <w:szCs w:val="32"/>
        </w:rPr>
        <w:t xml:space="preserve">3- </w:t>
      </w:r>
      <w:r w:rsidRPr="00DE699B">
        <w:rPr>
          <w:rStyle w:val="Hyperlink"/>
          <w:sz w:val="32"/>
          <w:szCs w:val="32"/>
          <w:rtl/>
        </w:rPr>
        <w:t>ان الحكم المطعون فيه قضى بإنشغال ذمة الطاعنة بالمبلغ الذي يمثل باقي مقابل الاستثمار عن استغلال مساحات اعلانية وذلك بعدما اطرح دفاعها في خصوص إنقاص مقابل الاستثمار لكون ان المستثمر السابق قام بإزالة البوكسات التي كانت محل اعتبار لدى تحديد هذا المقابل</w:t>
      </w:r>
      <w:r w:rsidRPr="00DE699B">
        <w:rPr>
          <w:rStyle w:val="Hyperlink"/>
          <w:sz w:val="32"/>
          <w:szCs w:val="32"/>
        </w:rPr>
        <w:t>.</w:t>
      </w:r>
      <w:r w:rsidRPr="00DE699B">
        <w:rPr>
          <w:sz w:val="32"/>
          <w:szCs w:val="32"/>
        </w:rPr>
        <w:fldChar w:fldCharType="end"/>
      </w:r>
      <w:r w:rsidRPr="00DE699B">
        <w:rPr>
          <w:sz w:val="32"/>
          <w:szCs w:val="32"/>
        </w:rPr>
        <w:br/>
      </w:r>
      <w:r w:rsidRPr="00DE699B">
        <w:rPr>
          <w:sz w:val="32"/>
          <w:szCs w:val="32"/>
        </w:rPr>
        <w:br/>
      </w:r>
      <w:r w:rsidRPr="00DE699B">
        <w:rPr>
          <w:sz w:val="32"/>
          <w:szCs w:val="32"/>
          <w:u w:val="single"/>
          <w:rtl/>
        </w:rPr>
        <w:t>ملاحظة</w:t>
      </w:r>
      <w:r w:rsidRPr="00DE699B">
        <w:rPr>
          <w:sz w:val="32"/>
          <w:szCs w:val="32"/>
          <w:u w:val="single"/>
        </w:rPr>
        <w:t xml:space="preserve"> :</w:t>
      </w:r>
      <w:r w:rsidRPr="00DE699B">
        <w:rPr>
          <w:sz w:val="32"/>
          <w:szCs w:val="32"/>
        </w:rPr>
        <w:br/>
      </w:r>
      <w:r w:rsidRPr="00DE699B">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E699B" w:rsidRPr="00DE699B" w:rsidRDefault="00DE699B" w:rsidP="00DE699B">
      <w:pPr>
        <w:rPr>
          <w:sz w:val="32"/>
          <w:szCs w:val="32"/>
        </w:rPr>
      </w:pPr>
      <w:bookmarkStart w:id="6" w:name="Anchor78"/>
      <w:bookmarkEnd w:id="6"/>
      <w:r w:rsidRPr="00DE699B">
        <w:rPr>
          <w:b/>
          <w:bCs/>
          <w:sz w:val="32"/>
          <w:szCs w:val="32"/>
          <w:rtl/>
        </w:rPr>
        <w:t>المحكمة</w:t>
      </w:r>
    </w:p>
    <w:p w:rsidR="00DE699B" w:rsidRPr="00DE699B" w:rsidRDefault="00DE699B" w:rsidP="00DE699B">
      <w:pPr>
        <w:rPr>
          <w:sz w:val="32"/>
          <w:szCs w:val="32"/>
        </w:rPr>
      </w:pPr>
      <w:bookmarkStart w:id="7" w:name="Anchor79"/>
      <w:bookmarkEnd w:id="7"/>
      <w:r w:rsidRPr="00DE699B">
        <w:rPr>
          <w:sz w:val="32"/>
          <w:szCs w:val="32"/>
          <w:rtl/>
        </w:rPr>
        <w:t>بعد الاطلاع على الأوراق، والمداولة</w:t>
      </w:r>
      <w:r w:rsidRPr="00DE699B">
        <w:rPr>
          <w:sz w:val="32"/>
          <w:szCs w:val="32"/>
        </w:rPr>
        <w:t>.</w:t>
      </w:r>
    </w:p>
    <w:p w:rsidR="00DE699B" w:rsidRPr="00DE699B" w:rsidRDefault="00DE699B" w:rsidP="00DE699B">
      <w:pPr>
        <w:rPr>
          <w:sz w:val="32"/>
          <w:szCs w:val="32"/>
        </w:rPr>
      </w:pPr>
      <w:bookmarkStart w:id="8" w:name="Anchor83"/>
      <w:bookmarkStart w:id="9" w:name="TM2014_1238_1"/>
      <w:bookmarkEnd w:id="8"/>
      <w:bookmarkEnd w:id="9"/>
      <w:r w:rsidRPr="00DE699B">
        <w:rPr>
          <w:b/>
          <w:bCs/>
          <w:sz w:val="32"/>
          <w:szCs w:val="32"/>
          <w:rtl/>
        </w:rPr>
        <w:t>لما كان من المقرر أن لمحكمة الموضوع السلطة في تحصيل وفهم الواقع في الدعوى وتقدير الأدلة والمستندات المقدمة فيها وترجيح ما تطمئن إليه منها وحسبها أن تبين الحقيقة التي اقتنعت بها وأن تقيم قضاءها على أسباب سائغة تكفي لحمله</w:t>
      </w:r>
    </w:p>
    <w:p w:rsidR="00DE699B" w:rsidRPr="00DE699B" w:rsidRDefault="00DE699B" w:rsidP="00DE699B">
      <w:pPr>
        <w:rPr>
          <w:sz w:val="32"/>
          <w:szCs w:val="32"/>
        </w:rPr>
      </w:pPr>
      <w:bookmarkStart w:id="10" w:name="Anchor107"/>
      <w:bookmarkStart w:id="11" w:name="TM2014_1238_2"/>
      <w:bookmarkEnd w:id="10"/>
      <w:bookmarkEnd w:id="11"/>
      <w:r w:rsidRPr="00DE699B">
        <w:rPr>
          <w:b/>
          <w:bCs/>
          <w:sz w:val="32"/>
          <w:szCs w:val="32"/>
          <w:rtl/>
        </w:rPr>
        <w:t>ولا إلزام عليها بندب خبير في الدعوى طالما وجدت في اوراقها ما يكفي لتكوين عقيدتها للفصل فيها</w:t>
      </w:r>
    </w:p>
    <w:p w:rsidR="00DE699B" w:rsidRPr="00DE699B" w:rsidRDefault="00DE699B" w:rsidP="00DE699B">
      <w:pPr>
        <w:rPr>
          <w:sz w:val="32"/>
          <w:szCs w:val="32"/>
        </w:rPr>
      </w:pPr>
      <w:bookmarkStart w:id="12" w:name="Anchor116"/>
      <w:bookmarkStart w:id="13" w:name="TM2014_1238_3"/>
      <w:bookmarkEnd w:id="12"/>
      <w:bookmarkEnd w:id="13"/>
      <w:r w:rsidRPr="00DE699B">
        <w:rPr>
          <w:b/>
          <w:bCs/>
          <w:sz w:val="32"/>
          <w:szCs w:val="32"/>
          <w:rtl/>
        </w:rPr>
        <w:t xml:space="preserve">وكان الحكم المطعون فيه قد خلص من أوراق الدعوى وعقد الاستثمار المؤرخ 2010/3/25 والمحرر بين طرفي الدعوى </w:t>
      </w:r>
      <w:r w:rsidRPr="00DE699B">
        <w:rPr>
          <w:b/>
          <w:bCs/>
          <w:sz w:val="32"/>
          <w:szCs w:val="32"/>
        </w:rPr>
        <w:t xml:space="preserve">– </w:t>
      </w:r>
      <w:r w:rsidRPr="00DE699B">
        <w:rPr>
          <w:b/>
          <w:bCs/>
          <w:sz w:val="32"/>
          <w:szCs w:val="32"/>
          <w:rtl/>
        </w:rPr>
        <w:t xml:space="preserve">الطاعنة والمطعون ضدها </w:t>
      </w:r>
      <w:r w:rsidRPr="00DE699B">
        <w:rPr>
          <w:b/>
          <w:bCs/>
          <w:sz w:val="32"/>
          <w:szCs w:val="32"/>
        </w:rPr>
        <w:t xml:space="preserve">– </w:t>
      </w:r>
      <w:r w:rsidRPr="00DE699B">
        <w:rPr>
          <w:b/>
          <w:bCs/>
          <w:sz w:val="32"/>
          <w:szCs w:val="32"/>
          <w:rtl/>
        </w:rPr>
        <w:t xml:space="preserve">على إنشغال ذمة الطاعنة بالمبلغ المقضي به وهو باقي مقابل الاستثمار المتفق عليه عن استغلال مساحات إعلانية ورتب على ذلك قضاءه المطعون فيه بعدما اطرح </w:t>
      </w:r>
      <w:r w:rsidRPr="00DE699B">
        <w:rPr>
          <w:b/>
          <w:bCs/>
          <w:sz w:val="32"/>
          <w:szCs w:val="32"/>
          <w:rtl/>
        </w:rPr>
        <w:lastRenderedPageBreak/>
        <w:t>دفاع الطاعنة في خصوص إنقاص مقابل الاستثمار المتفق عليه لكون أن المستثمر السابق قام بإزالة البوكسات التي كانت محل اعتبار عند تحديد هذا المقابل فضلاً على أن المطعون ضدها قامت بإعطاء حق الدعاية والإعلان لأخرين ذلك لأنها أقرت في العقد على معاينة المساحة المستثمرة وبصلاحيتها للغرض المستثمرة من اجله وخلو بنوده من الاتفاق على إعطاء المساحات الإعلانية حصرياً للطاعنة وكان هذا الاستخلاص سائغاً وله أصله الثابت في الأوراق ويؤدي إلى النتيجة التي انتهى إليها ويكفي لحمله فإن ما تثيره الطاعنة بسببي الطعن بتعييب هذا الاستخلاص لا يعدو أن يكون جدلاً فيما لمحكمة الموضوع سلطه تقديره مما لا يجوز إثارته امام هذه المحكمة ويتعين عدم قبول الطعن عملاً بالمادتين 152، 154/5 من قانون المرافعات</w:t>
      </w:r>
      <w:r w:rsidRPr="00DE699B">
        <w:rPr>
          <w:b/>
          <w:bCs/>
          <w:sz w:val="32"/>
          <w:szCs w:val="32"/>
        </w:rPr>
        <w:t>.</w:t>
      </w:r>
    </w:p>
    <w:p w:rsidR="00DE699B" w:rsidRPr="00DE699B" w:rsidRDefault="00DE699B" w:rsidP="00DE699B">
      <w:pPr>
        <w:rPr>
          <w:sz w:val="32"/>
          <w:szCs w:val="32"/>
        </w:rPr>
      </w:pPr>
      <w:bookmarkStart w:id="14" w:name="Anchor208"/>
      <w:bookmarkEnd w:id="14"/>
      <w:r w:rsidRPr="00DE699B">
        <w:rPr>
          <w:sz w:val="32"/>
          <w:szCs w:val="32"/>
          <w:rtl/>
        </w:rPr>
        <w:t>لذلك</w:t>
      </w:r>
    </w:p>
    <w:p w:rsidR="00DE699B" w:rsidRPr="00DE699B" w:rsidRDefault="00DE699B" w:rsidP="00DE699B">
      <w:pPr>
        <w:rPr>
          <w:sz w:val="32"/>
          <w:szCs w:val="32"/>
        </w:rPr>
      </w:pPr>
      <w:bookmarkStart w:id="15" w:name="Anchor209"/>
      <w:bookmarkEnd w:id="15"/>
      <w:r w:rsidRPr="00DE699B">
        <w:rPr>
          <w:sz w:val="32"/>
          <w:szCs w:val="32"/>
          <w:rtl/>
        </w:rPr>
        <w:t xml:space="preserve">قررت المحكمة </w:t>
      </w:r>
      <w:r w:rsidRPr="00DE699B">
        <w:rPr>
          <w:sz w:val="32"/>
          <w:szCs w:val="32"/>
        </w:rPr>
        <w:t xml:space="preserve">– </w:t>
      </w:r>
      <w:r w:rsidRPr="00DE699B">
        <w:rPr>
          <w:sz w:val="32"/>
          <w:szCs w:val="32"/>
          <w:rtl/>
        </w:rPr>
        <w:t>في غرفة المشورة</w:t>
      </w:r>
      <w:r w:rsidRPr="00DE699B">
        <w:rPr>
          <w:sz w:val="32"/>
          <w:szCs w:val="32"/>
        </w:rPr>
        <w:t xml:space="preserve">- </w:t>
      </w:r>
      <w:r w:rsidRPr="00DE699B">
        <w:rPr>
          <w:sz w:val="32"/>
          <w:szCs w:val="32"/>
          <w:rtl/>
        </w:rPr>
        <w:t>عدم قبول الطعن والزمت الطاعنة المصروفات مع مصادرة الكفالة</w:t>
      </w:r>
      <w:r w:rsidRPr="00DE699B">
        <w:rPr>
          <w:sz w:val="32"/>
          <w:szCs w:val="32"/>
        </w:rPr>
        <w:t>.</w:t>
      </w:r>
    </w:p>
    <w:p w:rsidR="00DE699B" w:rsidRPr="00DE699B" w:rsidRDefault="00DE699B" w:rsidP="00DE699B">
      <w:pPr>
        <w:rPr>
          <w:sz w:val="32"/>
          <w:szCs w:val="32"/>
        </w:rPr>
      </w:pPr>
    </w:p>
    <w:p w:rsidR="00DE699B" w:rsidRPr="00DE699B" w:rsidRDefault="00DE699B" w:rsidP="00DE699B">
      <w:pPr>
        <w:rPr>
          <w:sz w:val="32"/>
          <w:szCs w:val="32"/>
        </w:rPr>
      </w:pPr>
      <w:bookmarkStart w:id="16" w:name="Anchor222"/>
      <w:bookmarkEnd w:id="16"/>
      <w:r w:rsidRPr="00DE699B">
        <w:rPr>
          <w:sz w:val="32"/>
          <w:szCs w:val="32"/>
        </w:rPr>
        <w:t>* * *</w:t>
      </w:r>
    </w:p>
    <w:p w:rsidR="008C2BA0" w:rsidRPr="00DE699B" w:rsidRDefault="008C2BA0">
      <w:pPr>
        <w:rPr>
          <w:sz w:val="32"/>
          <w:szCs w:val="32"/>
        </w:rPr>
      </w:pPr>
    </w:p>
    <w:sectPr w:rsidR="008C2BA0" w:rsidRPr="00DE699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FD"/>
    <w:rsid w:val="0003272B"/>
    <w:rsid w:val="006D5EFD"/>
    <w:rsid w:val="008C2BA0"/>
    <w:rsid w:val="00DE6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9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59559">
      <w:bodyDiv w:val="1"/>
      <w:marLeft w:val="0"/>
      <w:marRight w:val="0"/>
      <w:marTop w:val="0"/>
      <w:marBottom w:val="0"/>
      <w:divBdr>
        <w:top w:val="none" w:sz="0" w:space="0" w:color="auto"/>
        <w:left w:val="none" w:sz="0" w:space="0" w:color="auto"/>
        <w:bottom w:val="none" w:sz="0" w:space="0" w:color="auto"/>
        <w:right w:val="none" w:sz="0" w:space="0" w:color="auto"/>
      </w:divBdr>
      <w:divsChild>
        <w:div w:id="510028720">
          <w:marLeft w:val="0"/>
          <w:marRight w:val="0"/>
          <w:marTop w:val="0"/>
          <w:marBottom w:val="0"/>
          <w:divBdr>
            <w:top w:val="none" w:sz="0" w:space="0" w:color="auto"/>
            <w:left w:val="none" w:sz="0" w:space="0" w:color="auto"/>
            <w:bottom w:val="none" w:sz="0" w:space="0" w:color="auto"/>
            <w:right w:val="none" w:sz="0" w:space="0" w:color="auto"/>
          </w:divBdr>
        </w:div>
        <w:div w:id="1420709345">
          <w:marLeft w:val="0"/>
          <w:marRight w:val="0"/>
          <w:marTop w:val="0"/>
          <w:marBottom w:val="0"/>
          <w:divBdr>
            <w:top w:val="none" w:sz="0" w:space="0" w:color="auto"/>
            <w:left w:val="none" w:sz="0" w:space="0" w:color="auto"/>
            <w:bottom w:val="none" w:sz="0" w:space="0" w:color="auto"/>
            <w:right w:val="none" w:sz="0" w:space="0" w:color="auto"/>
          </w:divBdr>
        </w:div>
        <w:div w:id="1189757479">
          <w:marLeft w:val="0"/>
          <w:marRight w:val="0"/>
          <w:marTop w:val="0"/>
          <w:marBottom w:val="0"/>
          <w:divBdr>
            <w:top w:val="none" w:sz="0" w:space="0" w:color="auto"/>
            <w:left w:val="none" w:sz="0" w:space="0" w:color="auto"/>
            <w:bottom w:val="none" w:sz="0" w:space="0" w:color="auto"/>
            <w:right w:val="none" w:sz="0" w:space="0" w:color="auto"/>
          </w:divBdr>
        </w:div>
        <w:div w:id="2138722362">
          <w:marLeft w:val="0"/>
          <w:marRight w:val="0"/>
          <w:marTop w:val="0"/>
          <w:marBottom w:val="0"/>
          <w:divBdr>
            <w:top w:val="none" w:sz="0" w:space="0" w:color="auto"/>
            <w:left w:val="none" w:sz="0" w:space="0" w:color="auto"/>
            <w:bottom w:val="none" w:sz="0" w:space="0" w:color="auto"/>
            <w:right w:val="none" w:sz="0" w:space="0" w:color="auto"/>
          </w:divBdr>
        </w:div>
        <w:div w:id="1779058337">
          <w:marLeft w:val="0"/>
          <w:marRight w:val="0"/>
          <w:marTop w:val="0"/>
          <w:marBottom w:val="0"/>
          <w:divBdr>
            <w:top w:val="none" w:sz="0" w:space="0" w:color="auto"/>
            <w:left w:val="none" w:sz="0" w:space="0" w:color="auto"/>
            <w:bottom w:val="none" w:sz="0" w:space="0" w:color="auto"/>
            <w:right w:val="none" w:sz="0" w:space="0" w:color="auto"/>
          </w:divBdr>
        </w:div>
        <w:div w:id="699740851">
          <w:marLeft w:val="0"/>
          <w:marRight w:val="0"/>
          <w:marTop w:val="0"/>
          <w:marBottom w:val="0"/>
          <w:divBdr>
            <w:top w:val="none" w:sz="0" w:space="0" w:color="auto"/>
            <w:left w:val="none" w:sz="0" w:space="0" w:color="auto"/>
            <w:bottom w:val="none" w:sz="0" w:space="0" w:color="auto"/>
            <w:right w:val="none" w:sz="0" w:space="0" w:color="auto"/>
          </w:divBdr>
        </w:div>
        <w:div w:id="593784469">
          <w:marLeft w:val="0"/>
          <w:marRight w:val="0"/>
          <w:marTop w:val="0"/>
          <w:marBottom w:val="0"/>
          <w:divBdr>
            <w:top w:val="none" w:sz="0" w:space="0" w:color="auto"/>
            <w:left w:val="none" w:sz="0" w:space="0" w:color="auto"/>
            <w:bottom w:val="none" w:sz="0" w:space="0" w:color="auto"/>
            <w:right w:val="none" w:sz="0" w:space="0" w:color="auto"/>
          </w:divBdr>
        </w:div>
        <w:div w:id="1814326971">
          <w:marLeft w:val="0"/>
          <w:marRight w:val="0"/>
          <w:marTop w:val="0"/>
          <w:marBottom w:val="0"/>
          <w:divBdr>
            <w:top w:val="none" w:sz="0" w:space="0" w:color="auto"/>
            <w:left w:val="none" w:sz="0" w:space="0" w:color="auto"/>
            <w:bottom w:val="none" w:sz="0" w:space="0" w:color="auto"/>
            <w:right w:val="none" w:sz="0" w:space="0" w:color="auto"/>
          </w:divBdr>
        </w:div>
        <w:div w:id="940844382">
          <w:marLeft w:val="0"/>
          <w:marRight w:val="0"/>
          <w:marTop w:val="0"/>
          <w:marBottom w:val="0"/>
          <w:divBdr>
            <w:top w:val="none" w:sz="0" w:space="0" w:color="auto"/>
            <w:left w:val="none" w:sz="0" w:space="0" w:color="auto"/>
            <w:bottom w:val="none" w:sz="0" w:space="0" w:color="auto"/>
            <w:right w:val="none" w:sz="0" w:space="0" w:color="auto"/>
          </w:divBdr>
        </w:div>
        <w:div w:id="531304244">
          <w:marLeft w:val="0"/>
          <w:marRight w:val="0"/>
          <w:marTop w:val="0"/>
          <w:marBottom w:val="0"/>
          <w:divBdr>
            <w:top w:val="none" w:sz="0" w:space="0" w:color="auto"/>
            <w:left w:val="none" w:sz="0" w:space="0" w:color="auto"/>
            <w:bottom w:val="none" w:sz="0" w:space="0" w:color="auto"/>
            <w:right w:val="none" w:sz="0" w:space="0" w:color="auto"/>
          </w:divBdr>
        </w:div>
        <w:div w:id="1277566104">
          <w:marLeft w:val="0"/>
          <w:marRight w:val="0"/>
          <w:marTop w:val="0"/>
          <w:marBottom w:val="0"/>
          <w:divBdr>
            <w:top w:val="none" w:sz="0" w:space="0" w:color="auto"/>
            <w:left w:val="none" w:sz="0" w:space="0" w:color="auto"/>
            <w:bottom w:val="none" w:sz="0" w:space="0" w:color="auto"/>
            <w:right w:val="none" w:sz="0" w:space="0" w:color="auto"/>
          </w:divBdr>
        </w:div>
        <w:div w:id="268203802">
          <w:marLeft w:val="0"/>
          <w:marRight w:val="0"/>
          <w:marTop w:val="0"/>
          <w:marBottom w:val="0"/>
          <w:divBdr>
            <w:top w:val="none" w:sz="0" w:space="0" w:color="auto"/>
            <w:left w:val="none" w:sz="0" w:space="0" w:color="auto"/>
            <w:bottom w:val="none" w:sz="0" w:space="0" w:color="auto"/>
            <w:right w:val="none" w:sz="0" w:space="0" w:color="auto"/>
          </w:divBdr>
        </w:div>
        <w:div w:id="1055160603">
          <w:marLeft w:val="0"/>
          <w:marRight w:val="0"/>
          <w:marTop w:val="0"/>
          <w:marBottom w:val="0"/>
          <w:divBdr>
            <w:top w:val="none" w:sz="0" w:space="0" w:color="auto"/>
            <w:left w:val="none" w:sz="0" w:space="0" w:color="auto"/>
            <w:bottom w:val="none" w:sz="0" w:space="0" w:color="auto"/>
            <w:right w:val="none" w:sz="0" w:space="0" w:color="auto"/>
          </w:divBdr>
        </w:div>
      </w:divsChild>
    </w:div>
    <w:div w:id="1795712724">
      <w:bodyDiv w:val="1"/>
      <w:marLeft w:val="0"/>
      <w:marRight w:val="0"/>
      <w:marTop w:val="0"/>
      <w:marBottom w:val="0"/>
      <w:divBdr>
        <w:top w:val="none" w:sz="0" w:space="0" w:color="auto"/>
        <w:left w:val="none" w:sz="0" w:space="0" w:color="auto"/>
        <w:bottom w:val="none" w:sz="0" w:space="0" w:color="auto"/>
        <w:right w:val="none" w:sz="0" w:space="0" w:color="auto"/>
      </w:divBdr>
      <w:divsChild>
        <w:div w:id="543373740">
          <w:marLeft w:val="0"/>
          <w:marRight w:val="0"/>
          <w:marTop w:val="0"/>
          <w:marBottom w:val="0"/>
          <w:divBdr>
            <w:top w:val="none" w:sz="0" w:space="0" w:color="auto"/>
            <w:left w:val="none" w:sz="0" w:space="0" w:color="auto"/>
            <w:bottom w:val="none" w:sz="0" w:space="0" w:color="auto"/>
            <w:right w:val="none" w:sz="0" w:space="0" w:color="auto"/>
          </w:divBdr>
        </w:div>
        <w:div w:id="343022759">
          <w:marLeft w:val="0"/>
          <w:marRight w:val="0"/>
          <w:marTop w:val="0"/>
          <w:marBottom w:val="0"/>
          <w:divBdr>
            <w:top w:val="none" w:sz="0" w:space="0" w:color="auto"/>
            <w:left w:val="none" w:sz="0" w:space="0" w:color="auto"/>
            <w:bottom w:val="none" w:sz="0" w:space="0" w:color="auto"/>
            <w:right w:val="none" w:sz="0" w:space="0" w:color="auto"/>
          </w:divBdr>
        </w:div>
        <w:div w:id="877397951">
          <w:marLeft w:val="0"/>
          <w:marRight w:val="0"/>
          <w:marTop w:val="0"/>
          <w:marBottom w:val="0"/>
          <w:divBdr>
            <w:top w:val="none" w:sz="0" w:space="0" w:color="auto"/>
            <w:left w:val="none" w:sz="0" w:space="0" w:color="auto"/>
            <w:bottom w:val="none" w:sz="0" w:space="0" w:color="auto"/>
            <w:right w:val="none" w:sz="0" w:space="0" w:color="auto"/>
          </w:divBdr>
        </w:div>
        <w:div w:id="905529269">
          <w:marLeft w:val="0"/>
          <w:marRight w:val="0"/>
          <w:marTop w:val="0"/>
          <w:marBottom w:val="0"/>
          <w:divBdr>
            <w:top w:val="none" w:sz="0" w:space="0" w:color="auto"/>
            <w:left w:val="none" w:sz="0" w:space="0" w:color="auto"/>
            <w:bottom w:val="none" w:sz="0" w:space="0" w:color="auto"/>
            <w:right w:val="none" w:sz="0" w:space="0" w:color="auto"/>
          </w:divBdr>
        </w:div>
        <w:div w:id="245117635">
          <w:marLeft w:val="0"/>
          <w:marRight w:val="0"/>
          <w:marTop w:val="0"/>
          <w:marBottom w:val="0"/>
          <w:divBdr>
            <w:top w:val="none" w:sz="0" w:space="0" w:color="auto"/>
            <w:left w:val="none" w:sz="0" w:space="0" w:color="auto"/>
            <w:bottom w:val="none" w:sz="0" w:space="0" w:color="auto"/>
            <w:right w:val="none" w:sz="0" w:space="0" w:color="auto"/>
          </w:divBdr>
        </w:div>
        <w:div w:id="34085257">
          <w:marLeft w:val="0"/>
          <w:marRight w:val="0"/>
          <w:marTop w:val="0"/>
          <w:marBottom w:val="0"/>
          <w:divBdr>
            <w:top w:val="none" w:sz="0" w:space="0" w:color="auto"/>
            <w:left w:val="none" w:sz="0" w:space="0" w:color="auto"/>
            <w:bottom w:val="none" w:sz="0" w:space="0" w:color="auto"/>
            <w:right w:val="none" w:sz="0" w:space="0" w:color="auto"/>
          </w:divBdr>
        </w:div>
        <w:div w:id="545220349">
          <w:marLeft w:val="0"/>
          <w:marRight w:val="0"/>
          <w:marTop w:val="0"/>
          <w:marBottom w:val="0"/>
          <w:divBdr>
            <w:top w:val="none" w:sz="0" w:space="0" w:color="auto"/>
            <w:left w:val="none" w:sz="0" w:space="0" w:color="auto"/>
            <w:bottom w:val="none" w:sz="0" w:space="0" w:color="auto"/>
            <w:right w:val="none" w:sz="0" w:space="0" w:color="auto"/>
          </w:divBdr>
        </w:div>
        <w:div w:id="244149429">
          <w:marLeft w:val="0"/>
          <w:marRight w:val="0"/>
          <w:marTop w:val="0"/>
          <w:marBottom w:val="0"/>
          <w:divBdr>
            <w:top w:val="none" w:sz="0" w:space="0" w:color="auto"/>
            <w:left w:val="none" w:sz="0" w:space="0" w:color="auto"/>
            <w:bottom w:val="none" w:sz="0" w:space="0" w:color="auto"/>
            <w:right w:val="none" w:sz="0" w:space="0" w:color="auto"/>
          </w:divBdr>
        </w:div>
        <w:div w:id="374892062">
          <w:marLeft w:val="0"/>
          <w:marRight w:val="0"/>
          <w:marTop w:val="0"/>
          <w:marBottom w:val="0"/>
          <w:divBdr>
            <w:top w:val="none" w:sz="0" w:space="0" w:color="auto"/>
            <w:left w:val="none" w:sz="0" w:space="0" w:color="auto"/>
            <w:bottom w:val="none" w:sz="0" w:space="0" w:color="auto"/>
            <w:right w:val="none" w:sz="0" w:space="0" w:color="auto"/>
          </w:divBdr>
        </w:div>
        <w:div w:id="746071217">
          <w:marLeft w:val="0"/>
          <w:marRight w:val="0"/>
          <w:marTop w:val="0"/>
          <w:marBottom w:val="0"/>
          <w:divBdr>
            <w:top w:val="none" w:sz="0" w:space="0" w:color="auto"/>
            <w:left w:val="none" w:sz="0" w:space="0" w:color="auto"/>
            <w:bottom w:val="none" w:sz="0" w:space="0" w:color="auto"/>
            <w:right w:val="none" w:sz="0" w:space="0" w:color="auto"/>
          </w:divBdr>
        </w:div>
        <w:div w:id="540678841">
          <w:marLeft w:val="0"/>
          <w:marRight w:val="0"/>
          <w:marTop w:val="0"/>
          <w:marBottom w:val="0"/>
          <w:divBdr>
            <w:top w:val="none" w:sz="0" w:space="0" w:color="auto"/>
            <w:left w:val="none" w:sz="0" w:space="0" w:color="auto"/>
            <w:bottom w:val="none" w:sz="0" w:space="0" w:color="auto"/>
            <w:right w:val="none" w:sz="0" w:space="0" w:color="auto"/>
          </w:divBdr>
        </w:div>
        <w:div w:id="1226257266">
          <w:marLeft w:val="0"/>
          <w:marRight w:val="0"/>
          <w:marTop w:val="0"/>
          <w:marBottom w:val="0"/>
          <w:divBdr>
            <w:top w:val="none" w:sz="0" w:space="0" w:color="auto"/>
            <w:left w:val="none" w:sz="0" w:space="0" w:color="auto"/>
            <w:bottom w:val="none" w:sz="0" w:space="0" w:color="auto"/>
            <w:right w:val="none" w:sz="0" w:space="0" w:color="auto"/>
          </w:divBdr>
        </w:div>
        <w:div w:id="86929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2020-04-26T11:36:00Z</dcterms:created>
  <dcterms:modified xsi:type="dcterms:W3CDTF">2020-04-26T11:36:00Z</dcterms:modified>
</cp:coreProperties>
</file>