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0E" w:rsidRPr="00E1010E" w:rsidRDefault="00E1010E" w:rsidP="00E1010E">
      <w:pPr>
        <w:jc w:val="center"/>
        <w:rPr>
          <w:sz w:val="32"/>
          <w:szCs w:val="32"/>
        </w:rPr>
      </w:pPr>
      <w:bookmarkStart w:id="0" w:name="Anchor1"/>
      <w:bookmarkEnd w:id="0"/>
      <w:r w:rsidRPr="00E1010E">
        <w:rPr>
          <w:sz w:val="32"/>
          <w:szCs w:val="32"/>
          <w:rtl/>
        </w:rPr>
        <w:t>الطعن رقم 1</w:t>
      </w:r>
      <w:bookmarkStart w:id="1" w:name="_GoBack"/>
      <w:bookmarkEnd w:id="1"/>
      <w:r w:rsidRPr="00E1010E">
        <w:rPr>
          <w:sz w:val="32"/>
          <w:szCs w:val="32"/>
          <w:rtl/>
        </w:rPr>
        <w:t>322/2009</w:t>
      </w:r>
    </w:p>
    <w:p w:rsidR="00E1010E" w:rsidRPr="00E1010E" w:rsidRDefault="00E1010E" w:rsidP="00E1010E">
      <w:pPr>
        <w:rPr>
          <w:sz w:val="32"/>
          <w:szCs w:val="32"/>
        </w:rPr>
      </w:pPr>
      <w:bookmarkStart w:id="2" w:name="Anchor6"/>
      <w:bookmarkEnd w:id="2"/>
      <w:r w:rsidRPr="00E1010E">
        <w:rPr>
          <w:sz w:val="32"/>
          <w:szCs w:val="32"/>
          <w:rtl/>
        </w:rPr>
        <w:t>هيئة المحكمة</w:t>
      </w:r>
      <w:r w:rsidRPr="00E1010E">
        <w:rPr>
          <w:sz w:val="32"/>
          <w:szCs w:val="32"/>
        </w:rPr>
        <w:t xml:space="preserve">: </w:t>
      </w:r>
      <w:r w:rsidRPr="00E1010E">
        <w:rPr>
          <w:sz w:val="32"/>
          <w:szCs w:val="32"/>
          <w:rtl/>
        </w:rPr>
        <w:t>برئاسة السيد المستشار ممدوح القزاز وكيل المحكمة وعضوية السادة المستشارين صلاح الدين كامل وأمين طموم واحمد ابو ضيف وعلي مرغني</w:t>
      </w:r>
    </w:p>
    <w:bookmarkStart w:id="3" w:name="Anchor22"/>
    <w:bookmarkEnd w:id="3"/>
    <w:p w:rsidR="00E1010E" w:rsidRPr="00E1010E" w:rsidRDefault="00E1010E" w:rsidP="00E1010E">
      <w:pPr>
        <w:rPr>
          <w:sz w:val="32"/>
          <w:szCs w:val="32"/>
        </w:rPr>
      </w:pPr>
      <w:r w:rsidRPr="00E1010E">
        <w:rPr>
          <w:sz w:val="32"/>
          <w:szCs w:val="32"/>
        </w:rPr>
        <w:fldChar w:fldCharType="begin"/>
      </w:r>
      <w:r w:rsidRPr="00E1010E">
        <w:rPr>
          <w:sz w:val="32"/>
          <w:szCs w:val="32"/>
        </w:rPr>
        <w:instrText xml:space="preserve"> HYPERLINK "http://www.law.gov.kw/KWT_CC-Ar/00_2014/00_%D8%A7%D9%84%D8%AF%D8%A7%D8%A6%D8%B1%D8%A9%20%D8%A7%D9%84%D8%AA%D8%AC%D8%A7%D8%B1%D9%8A%D8%A9/KWT-CC-Ar_2014-04-20_01322_Taan.html" \l "TM2014_1322_1" </w:instrText>
      </w:r>
      <w:r w:rsidRPr="00E1010E">
        <w:rPr>
          <w:sz w:val="32"/>
          <w:szCs w:val="32"/>
        </w:rPr>
        <w:fldChar w:fldCharType="separate"/>
      </w:r>
      <w:r w:rsidRPr="00E1010E">
        <w:rPr>
          <w:rStyle w:val="Hyperlink"/>
          <w:sz w:val="32"/>
          <w:szCs w:val="32"/>
        </w:rPr>
        <w:t xml:space="preserve">1- </w:t>
      </w:r>
      <w:r w:rsidRPr="00E1010E">
        <w:rPr>
          <w:rStyle w:val="Hyperlink"/>
          <w:sz w:val="32"/>
          <w:szCs w:val="32"/>
          <w:rtl/>
        </w:rPr>
        <w:t>ان العلاقة بين البنوك وعملائها تخضع بحسب الأصل لمبدأ سلطان الإرادة</w:t>
      </w:r>
      <w:r w:rsidRPr="00E1010E">
        <w:rPr>
          <w:rStyle w:val="Hyperlink"/>
          <w:sz w:val="32"/>
          <w:szCs w:val="32"/>
        </w:rPr>
        <w:t>.</w:t>
      </w:r>
      <w:r w:rsidRPr="00E1010E">
        <w:rPr>
          <w:sz w:val="32"/>
          <w:szCs w:val="32"/>
        </w:rPr>
        <w:fldChar w:fldCharType="end"/>
      </w:r>
    </w:p>
    <w:bookmarkStart w:id="4" w:name="Anchor31"/>
    <w:bookmarkEnd w:id="4"/>
    <w:p w:rsidR="00E1010E" w:rsidRPr="00E1010E" w:rsidRDefault="00E1010E" w:rsidP="00E1010E">
      <w:pPr>
        <w:rPr>
          <w:sz w:val="32"/>
          <w:szCs w:val="32"/>
        </w:rPr>
      </w:pPr>
      <w:r w:rsidRPr="00E1010E">
        <w:rPr>
          <w:sz w:val="32"/>
          <w:szCs w:val="32"/>
        </w:rPr>
        <w:fldChar w:fldCharType="begin"/>
      </w:r>
      <w:r w:rsidRPr="00E1010E">
        <w:rPr>
          <w:sz w:val="32"/>
          <w:szCs w:val="32"/>
        </w:rPr>
        <w:instrText xml:space="preserve"> HYPERLINK "http://www.law.gov.kw/KWT_CC-Ar/00_2014/00_%D8%A7%D9%84%D8%AF%D8%A7%D8%A6%D8%B1%D8%A9%20%D8%A7%D9%84%D8%AA%D8%AC%D8%A7%D8%B1%D9%8A%D8%A9/KWT-CC-Ar_2014-04-20_01322_Taan.html" \l "TM2014_1322_2" </w:instrText>
      </w:r>
      <w:r w:rsidRPr="00E1010E">
        <w:rPr>
          <w:sz w:val="32"/>
          <w:szCs w:val="32"/>
        </w:rPr>
        <w:fldChar w:fldCharType="separate"/>
      </w:r>
      <w:r w:rsidRPr="00E1010E">
        <w:rPr>
          <w:rStyle w:val="Hyperlink"/>
          <w:sz w:val="32"/>
          <w:szCs w:val="32"/>
        </w:rPr>
        <w:t xml:space="preserve">2- </w:t>
      </w:r>
      <w:r w:rsidRPr="00E1010E">
        <w:rPr>
          <w:rStyle w:val="Hyperlink"/>
          <w:sz w:val="32"/>
          <w:szCs w:val="32"/>
          <w:rtl/>
        </w:rPr>
        <w:t>ان الإتفاق في العقود المبرمة بين البنوك وعملائها يجوز بينهما على سعر الفائدة الذي يسري على القروض التي تمنحها البنوك لهم شرط ان لا تزيد عن الأسعار المعلنة من البنك المركزي في تاريخ ابرام الإتفاق عملا بنص المادة 111/1 تجارة</w:t>
      </w:r>
      <w:r w:rsidRPr="00E1010E">
        <w:rPr>
          <w:rStyle w:val="Hyperlink"/>
          <w:sz w:val="32"/>
          <w:szCs w:val="32"/>
        </w:rPr>
        <w:t>.</w:t>
      </w:r>
      <w:r w:rsidRPr="00E1010E">
        <w:rPr>
          <w:sz w:val="32"/>
          <w:szCs w:val="32"/>
        </w:rPr>
        <w:fldChar w:fldCharType="end"/>
      </w:r>
    </w:p>
    <w:bookmarkStart w:id="5" w:name="Anchor54"/>
    <w:bookmarkEnd w:id="5"/>
    <w:p w:rsidR="00E1010E" w:rsidRPr="00E1010E" w:rsidRDefault="00E1010E" w:rsidP="00E1010E">
      <w:pPr>
        <w:rPr>
          <w:sz w:val="32"/>
          <w:szCs w:val="32"/>
        </w:rPr>
      </w:pPr>
      <w:r w:rsidRPr="00E1010E">
        <w:rPr>
          <w:sz w:val="32"/>
          <w:szCs w:val="32"/>
        </w:rPr>
        <w:fldChar w:fldCharType="begin"/>
      </w:r>
      <w:r w:rsidRPr="00E1010E">
        <w:rPr>
          <w:sz w:val="32"/>
          <w:szCs w:val="32"/>
        </w:rPr>
        <w:instrText xml:space="preserve"> HYPERLINK "http://www.law.gov.kw/KWT_CC-Ar/00_2014/00_%D8%A7%D9%84%D8%AF%D8%A7%D8%A6%D8%B1%D8%A9%20%D8%A7%D9%84%D8%AA%D8%AC%D8%A7%D8%B1%D9%8A%D8%A9/KWT-CC-Ar_2014-04-20_01322_Taan.html" \l "TM2014_1322_3" </w:instrText>
      </w:r>
      <w:r w:rsidRPr="00E1010E">
        <w:rPr>
          <w:sz w:val="32"/>
          <w:szCs w:val="32"/>
        </w:rPr>
        <w:fldChar w:fldCharType="separate"/>
      </w:r>
      <w:r w:rsidRPr="00E1010E">
        <w:rPr>
          <w:rStyle w:val="Hyperlink"/>
          <w:sz w:val="32"/>
          <w:szCs w:val="32"/>
        </w:rPr>
        <w:t xml:space="preserve">3- </w:t>
      </w:r>
      <w:r w:rsidRPr="00E1010E">
        <w:rPr>
          <w:rStyle w:val="Hyperlink"/>
          <w:sz w:val="32"/>
          <w:szCs w:val="32"/>
          <w:rtl/>
        </w:rPr>
        <w:t>ان العقد الذي يخوّل البنك رخصة رفع سعر الفائدة المتفق عليها مع العميل يجيز للبنك رفعها دون حاجة لموافقة مجدده من العميل</w:t>
      </w:r>
      <w:r w:rsidRPr="00E1010E">
        <w:rPr>
          <w:rStyle w:val="Hyperlink"/>
          <w:sz w:val="32"/>
          <w:szCs w:val="32"/>
        </w:rPr>
        <w:t>.</w:t>
      </w:r>
      <w:r w:rsidRPr="00E1010E">
        <w:rPr>
          <w:sz w:val="32"/>
          <w:szCs w:val="32"/>
        </w:rPr>
        <w:fldChar w:fldCharType="end"/>
      </w:r>
      <w:r w:rsidRPr="00E1010E">
        <w:rPr>
          <w:sz w:val="32"/>
          <w:szCs w:val="32"/>
        </w:rPr>
        <w:br/>
      </w:r>
      <w:r w:rsidRPr="00E1010E">
        <w:rPr>
          <w:sz w:val="32"/>
          <w:szCs w:val="32"/>
        </w:rPr>
        <w:br/>
      </w:r>
      <w:r w:rsidRPr="00E1010E">
        <w:rPr>
          <w:sz w:val="32"/>
          <w:szCs w:val="32"/>
          <w:u w:val="single"/>
          <w:rtl/>
        </w:rPr>
        <w:t>ملاحظة</w:t>
      </w:r>
      <w:r w:rsidRPr="00E1010E">
        <w:rPr>
          <w:sz w:val="32"/>
          <w:szCs w:val="32"/>
          <w:u w:val="single"/>
        </w:rPr>
        <w:t xml:space="preserve"> :</w:t>
      </w:r>
      <w:r w:rsidRPr="00E1010E">
        <w:rPr>
          <w:sz w:val="32"/>
          <w:szCs w:val="32"/>
        </w:rPr>
        <w:br/>
      </w:r>
      <w:r w:rsidRPr="00E1010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E1010E" w:rsidRPr="00E1010E" w:rsidRDefault="00E1010E" w:rsidP="00E1010E">
      <w:pPr>
        <w:rPr>
          <w:sz w:val="32"/>
          <w:szCs w:val="32"/>
        </w:rPr>
      </w:pPr>
      <w:bookmarkStart w:id="6" w:name="Anchor67"/>
      <w:bookmarkEnd w:id="6"/>
      <w:r w:rsidRPr="00E1010E">
        <w:rPr>
          <w:b/>
          <w:bCs/>
          <w:sz w:val="32"/>
          <w:szCs w:val="32"/>
          <w:rtl/>
        </w:rPr>
        <w:t>المحكمــة</w:t>
      </w:r>
    </w:p>
    <w:p w:rsidR="00E1010E" w:rsidRPr="00E1010E" w:rsidRDefault="00E1010E" w:rsidP="00E1010E">
      <w:pPr>
        <w:rPr>
          <w:sz w:val="32"/>
          <w:szCs w:val="32"/>
        </w:rPr>
      </w:pPr>
      <w:bookmarkStart w:id="7" w:name="Anchor68"/>
      <w:bookmarkEnd w:id="7"/>
      <w:r w:rsidRPr="00E1010E">
        <w:rPr>
          <w:sz w:val="32"/>
          <w:szCs w:val="32"/>
          <w:rtl/>
        </w:rPr>
        <w:t>بعد الاطلاع على الأوراق، وسماع المرافعة وبعد المداولة</w:t>
      </w:r>
      <w:r w:rsidRPr="00E1010E">
        <w:rPr>
          <w:sz w:val="32"/>
          <w:szCs w:val="32"/>
        </w:rPr>
        <w:t>.</w:t>
      </w:r>
    </w:p>
    <w:p w:rsidR="00E1010E" w:rsidRPr="00E1010E" w:rsidRDefault="00E1010E" w:rsidP="00E1010E">
      <w:pPr>
        <w:rPr>
          <w:sz w:val="32"/>
          <w:szCs w:val="32"/>
        </w:rPr>
      </w:pPr>
      <w:bookmarkStart w:id="8" w:name="Anchor75"/>
      <w:bookmarkEnd w:id="8"/>
      <w:r w:rsidRPr="00E1010E">
        <w:rPr>
          <w:sz w:val="32"/>
          <w:szCs w:val="32"/>
          <w:rtl/>
        </w:rPr>
        <w:t>حيث إن الطعن استوفى أوضاعه الشكلية</w:t>
      </w:r>
      <w:r w:rsidRPr="00E1010E">
        <w:rPr>
          <w:sz w:val="32"/>
          <w:szCs w:val="32"/>
        </w:rPr>
        <w:t xml:space="preserve">. </w:t>
      </w:r>
    </w:p>
    <w:p w:rsidR="00E1010E" w:rsidRPr="00E1010E" w:rsidRDefault="00E1010E" w:rsidP="00E1010E">
      <w:pPr>
        <w:rPr>
          <w:sz w:val="32"/>
          <w:szCs w:val="32"/>
        </w:rPr>
      </w:pPr>
      <w:bookmarkStart w:id="9" w:name="Anchor80"/>
      <w:bookmarkEnd w:id="9"/>
      <w:r w:rsidRPr="00E1010E">
        <w:rPr>
          <w:sz w:val="32"/>
          <w:szCs w:val="32"/>
          <w:rtl/>
        </w:rPr>
        <w:t xml:space="preserve">وحيث إن الوقائع </w:t>
      </w:r>
      <w:r w:rsidRPr="00E1010E">
        <w:rPr>
          <w:sz w:val="32"/>
          <w:szCs w:val="32"/>
        </w:rPr>
        <w:t>–</w:t>
      </w:r>
      <w:r w:rsidRPr="00E1010E">
        <w:rPr>
          <w:sz w:val="32"/>
          <w:szCs w:val="32"/>
          <w:rtl/>
        </w:rPr>
        <w:t xml:space="preserve">على ما يبين من الحكم المطعون فيه وسائر الأوراق </w:t>
      </w:r>
      <w:r w:rsidRPr="00E1010E">
        <w:rPr>
          <w:sz w:val="32"/>
          <w:szCs w:val="32"/>
        </w:rPr>
        <w:t xml:space="preserve">– </w:t>
      </w:r>
      <w:r w:rsidRPr="00E1010E">
        <w:rPr>
          <w:sz w:val="32"/>
          <w:szCs w:val="32"/>
          <w:rtl/>
        </w:rPr>
        <w:t xml:space="preserve">تتحصل في أن المطعون ضدها الأولي أقامت على البنك الطاعن الدعوى رقم </w:t>
      </w:r>
      <w:r w:rsidRPr="00E1010E">
        <w:rPr>
          <w:sz w:val="32"/>
          <w:szCs w:val="32"/>
        </w:rPr>
        <w:t xml:space="preserve">1156 </w:t>
      </w:r>
      <w:r w:rsidRPr="00E1010E">
        <w:rPr>
          <w:sz w:val="32"/>
          <w:szCs w:val="32"/>
          <w:rtl/>
        </w:rPr>
        <w:t xml:space="preserve">لسنة </w:t>
      </w:r>
      <w:r w:rsidRPr="00E1010E">
        <w:rPr>
          <w:sz w:val="32"/>
          <w:szCs w:val="32"/>
        </w:rPr>
        <w:t xml:space="preserve">2008 </w:t>
      </w:r>
      <w:r w:rsidRPr="00E1010E">
        <w:rPr>
          <w:sz w:val="32"/>
          <w:szCs w:val="32"/>
          <w:rtl/>
        </w:rPr>
        <w:t>تجاري مدني كلي حكومة بطلب الحكم بندب خبير في الدعوى وبالاطلاع على عقد القرض المبرم بينها ويبين الطاعن لتحديد قيمة ونسبة الفوائد المستحقة شهريا وسنويا على القرض، وكذا المتبقي من أصل القرض وتاريخ إنتهاء سداده، والزامهما بما يسفر عنه تقرير الخبير</w:t>
      </w:r>
      <w:r w:rsidRPr="00E1010E">
        <w:rPr>
          <w:sz w:val="32"/>
          <w:szCs w:val="32"/>
        </w:rPr>
        <w:t xml:space="preserve">. </w:t>
      </w:r>
      <w:r w:rsidRPr="00E1010E">
        <w:rPr>
          <w:sz w:val="32"/>
          <w:szCs w:val="32"/>
          <w:rtl/>
        </w:rPr>
        <w:t>على سند من القول انها اقترضت من البنك الطاعن مبلغ 21000 د.ك يسدد على أقساط شهرية عدها 252 قسطا بواقع 228 د.ك شهريا للقسط الواحد ،إلا إنها فوجئت بقيام البنك بزيادة قيمة ومدة سداد القرض بالمخالفة للقانون والنظام العام ومن ثم فقد أقامت الدعوى. ندبت المحكمة خبيرا وبعد أن أودع تقريره حكمت بعدم أحقية البنك الطاعن في تعديل سعر الفائدة عن القرض الممنوح للمطعون ضدها الأولى المؤرخ 2006/5/9 عن المتفق عليه به وما يترتب على ذلك من تثبيت عدد الأقساط وقيمتها المتفق عليها بالعقد</w:t>
      </w:r>
      <w:r w:rsidRPr="00E1010E">
        <w:rPr>
          <w:sz w:val="32"/>
          <w:szCs w:val="32"/>
        </w:rPr>
        <w:t xml:space="preserve">. </w:t>
      </w:r>
      <w:r w:rsidRPr="00E1010E">
        <w:rPr>
          <w:sz w:val="32"/>
          <w:szCs w:val="32"/>
          <w:rtl/>
        </w:rPr>
        <w:t xml:space="preserve">استأنف </w:t>
      </w:r>
      <w:r w:rsidRPr="00E1010E">
        <w:rPr>
          <w:sz w:val="32"/>
          <w:szCs w:val="32"/>
          <w:rtl/>
        </w:rPr>
        <w:lastRenderedPageBreak/>
        <w:t>الطاعن هذا الحكم بالاستئناف رقم 2400 لسنة 2009 تجارى</w:t>
      </w:r>
      <w:r w:rsidRPr="00E1010E">
        <w:rPr>
          <w:sz w:val="32"/>
          <w:szCs w:val="32"/>
        </w:rPr>
        <w:t xml:space="preserve">. </w:t>
      </w:r>
      <w:r w:rsidRPr="00E1010E">
        <w:rPr>
          <w:sz w:val="32"/>
          <w:szCs w:val="32"/>
          <w:rtl/>
        </w:rPr>
        <w:t xml:space="preserve">وبتاريخ- 2009/9/13 قضت المحكمة بتأييد الحكم المستأنف. طعن الطاعن في هذا الحكم بطريق التمييز، وأودعت النيابة مذكرة ابدت فيها الرأي بتمييزه، وإذ عرض الطعن على هذه المحكمة في غرفة المشورة </w:t>
      </w:r>
      <w:r w:rsidRPr="00E1010E">
        <w:rPr>
          <w:sz w:val="32"/>
          <w:szCs w:val="32"/>
        </w:rPr>
        <w:t xml:space="preserve">– </w:t>
      </w:r>
      <w:r w:rsidRPr="00E1010E">
        <w:rPr>
          <w:sz w:val="32"/>
          <w:szCs w:val="32"/>
          <w:rtl/>
        </w:rPr>
        <w:t>حددت جلسة لنظره وفيها التزمت النيابة رأيها</w:t>
      </w:r>
      <w:r w:rsidRPr="00E1010E">
        <w:rPr>
          <w:sz w:val="32"/>
          <w:szCs w:val="32"/>
        </w:rPr>
        <w:t>.</w:t>
      </w:r>
    </w:p>
    <w:p w:rsidR="00E1010E" w:rsidRPr="00E1010E" w:rsidRDefault="00E1010E" w:rsidP="00E1010E">
      <w:pPr>
        <w:rPr>
          <w:sz w:val="32"/>
          <w:szCs w:val="32"/>
        </w:rPr>
      </w:pPr>
      <w:bookmarkStart w:id="10" w:name="Anchor197"/>
      <w:bookmarkEnd w:id="10"/>
      <w:r w:rsidRPr="00E1010E">
        <w:rPr>
          <w:sz w:val="32"/>
          <w:szCs w:val="32"/>
          <w:rtl/>
        </w:rPr>
        <w:t xml:space="preserve">وحيث إن الطعن أقيم على سبب واحد ينعي به الطاعن على الحكم المطعون فيه مخالفة القانون والخطأ في تطبيقه، والانحراف في تفسير بنود العقد، وفى بيان ذلك يقول أن قضى بعدم أحقيته في تعديل سعر الفائدة على القرض الممنوح للمطعون ضدها الأولى عن المتفق عليه بالعقد وقت التعاقد وما يترتب على ذلك من تثبيت عدد الأقساط وقيمتها، حاله أن الثابت بعقد القرض بالبند السابع فقرة </w:t>
      </w:r>
      <w:r w:rsidRPr="00E1010E">
        <w:rPr>
          <w:sz w:val="32"/>
          <w:szCs w:val="32"/>
        </w:rPr>
        <w:t>(</w:t>
      </w:r>
      <w:r w:rsidRPr="00E1010E">
        <w:rPr>
          <w:sz w:val="32"/>
          <w:szCs w:val="32"/>
          <w:rtl/>
        </w:rPr>
        <w:t xml:space="preserve">ب) أنه تم الاتفاق على سريان فائدة متغيره بواقع </w:t>
      </w:r>
      <w:r w:rsidRPr="00E1010E">
        <w:rPr>
          <w:sz w:val="32"/>
          <w:szCs w:val="32"/>
        </w:rPr>
        <w:t>4</w:t>
      </w:r>
      <w:r w:rsidRPr="00E1010E">
        <w:rPr>
          <w:rFonts w:ascii="Arial" w:hAnsi="Arial" w:cs="Arial"/>
          <w:sz w:val="32"/>
          <w:szCs w:val="32"/>
        </w:rPr>
        <w:t>٪</w:t>
      </w:r>
      <w:r w:rsidRPr="00E1010E">
        <w:rPr>
          <w:sz w:val="32"/>
          <w:szCs w:val="32"/>
        </w:rPr>
        <w:t xml:space="preserve"> </w:t>
      </w:r>
      <w:r w:rsidRPr="00E1010E">
        <w:rPr>
          <w:sz w:val="32"/>
          <w:szCs w:val="32"/>
          <w:rtl/>
        </w:rPr>
        <w:t>سعر الخصم المعلن من البنك المركزي . وأن مؤدي ذلك أن سعر الفائدة يرتفع بقدر الزيادة في سعر الخصم وفقا لقرارات البنك المركزي وينخفض بقدر الانخفاض فيه، وهو اتفاق صحيح قانونا ولا يخالف تعليمات البنك المركزي التي إجازات أن تكون الفائدة على القروض بسعر ثابت أو متغير، ومن ثم يتعين الالتزام بما أتفق عليه بالعقد . وإذ خالف الحكم المطعون فيه ذلك وساير حكم أول درجة فيما قضي به فإنه يكون معيبا ويستوجب تمييزه</w:t>
      </w:r>
      <w:r w:rsidRPr="00E1010E">
        <w:rPr>
          <w:sz w:val="32"/>
          <w:szCs w:val="32"/>
        </w:rPr>
        <w:t>.</w:t>
      </w:r>
    </w:p>
    <w:p w:rsidR="00E1010E" w:rsidRPr="00E1010E" w:rsidRDefault="00E1010E" w:rsidP="00E1010E">
      <w:pPr>
        <w:rPr>
          <w:sz w:val="32"/>
          <w:szCs w:val="32"/>
        </w:rPr>
      </w:pPr>
      <w:bookmarkStart w:id="11" w:name="Anchor274"/>
      <w:bookmarkEnd w:id="11"/>
      <w:r w:rsidRPr="00E1010E">
        <w:rPr>
          <w:sz w:val="32"/>
          <w:szCs w:val="32"/>
          <w:rtl/>
        </w:rPr>
        <w:t xml:space="preserve">وحيث إن هذا النعي سديد. ذلك أن المقرر- في قضاء هذه المحكمة </w:t>
      </w:r>
      <w:r w:rsidRPr="00E1010E">
        <w:rPr>
          <w:sz w:val="32"/>
          <w:szCs w:val="32"/>
        </w:rPr>
        <w:t>–</w:t>
      </w:r>
      <w:r w:rsidRPr="00E1010E">
        <w:rPr>
          <w:b/>
          <w:bCs/>
          <w:sz w:val="32"/>
          <w:szCs w:val="32"/>
        </w:rPr>
        <w:t xml:space="preserve"> </w:t>
      </w:r>
      <w:bookmarkStart w:id="12" w:name="TM2014_1322_1"/>
      <w:bookmarkEnd w:id="12"/>
      <w:r w:rsidRPr="00E1010E">
        <w:rPr>
          <w:b/>
          <w:bCs/>
          <w:sz w:val="32"/>
          <w:szCs w:val="32"/>
          <w:rtl/>
        </w:rPr>
        <w:t>أن العلاقة بين البنوك وعملائها تخضع بحسب الأصل لمبدأ سلطان الارادة،</w:t>
      </w:r>
    </w:p>
    <w:p w:rsidR="00E1010E" w:rsidRPr="00E1010E" w:rsidRDefault="00E1010E" w:rsidP="00E1010E">
      <w:pPr>
        <w:rPr>
          <w:sz w:val="32"/>
          <w:szCs w:val="32"/>
        </w:rPr>
      </w:pPr>
      <w:bookmarkStart w:id="13" w:name="Anchor289"/>
      <w:bookmarkStart w:id="14" w:name="TM2014_1322_2"/>
      <w:bookmarkEnd w:id="13"/>
      <w:bookmarkEnd w:id="14"/>
      <w:r w:rsidRPr="00E1010E">
        <w:rPr>
          <w:b/>
          <w:bCs/>
          <w:sz w:val="32"/>
          <w:szCs w:val="32"/>
          <w:rtl/>
        </w:rPr>
        <w:t>بما مؤداه أنه يجوز الاتفاق في العقود المبرمة بينهما على سعر الفائدة الذي يسرى على القروض التي تمنحها البنوك ولهم، بشرط الا بزبد عن الأسعار المعلنة من البنك المركزي في تاريخ إبرام الاتفاق عملا بنص المادة 111/1 من قانون التجارة،</w:t>
      </w:r>
    </w:p>
    <w:p w:rsidR="00E1010E" w:rsidRPr="00E1010E" w:rsidRDefault="00E1010E" w:rsidP="00E1010E">
      <w:pPr>
        <w:rPr>
          <w:sz w:val="32"/>
          <w:szCs w:val="32"/>
        </w:rPr>
      </w:pPr>
      <w:bookmarkStart w:id="15" w:name="Anchor310"/>
      <w:bookmarkStart w:id="16" w:name="TM2014_1322_3"/>
      <w:bookmarkEnd w:id="15"/>
      <w:bookmarkEnd w:id="16"/>
      <w:r w:rsidRPr="00E1010E">
        <w:rPr>
          <w:b/>
          <w:bCs/>
          <w:sz w:val="32"/>
          <w:szCs w:val="32"/>
          <w:rtl/>
        </w:rPr>
        <w:t>كما يجوز الاتفاق في هذه العقود على تخويل البنك رخصة رفع سعر الفائدة المتفق عليه دون حاجة لموافقة مجدده من العميل،</w:t>
      </w:r>
      <w:r w:rsidRPr="00E1010E">
        <w:rPr>
          <w:sz w:val="32"/>
          <w:szCs w:val="32"/>
          <w:rtl/>
        </w:rPr>
        <w:t xml:space="preserve"> وذلك طبقا لما يصدره البنك المركزي من قرارات بتعديل أسعار الفائدة الذي تتقاضاها البنوك من عملائها</w:t>
      </w:r>
      <w:r w:rsidRPr="00E1010E">
        <w:rPr>
          <w:sz w:val="32"/>
          <w:szCs w:val="32"/>
        </w:rPr>
        <w:t xml:space="preserve">. </w:t>
      </w:r>
      <w:r w:rsidRPr="00E1010E">
        <w:rPr>
          <w:sz w:val="32"/>
          <w:szCs w:val="32"/>
          <w:rtl/>
        </w:rPr>
        <w:t>وفى غير هذا الأحوال فإن القرارات التي يصدر البنك المركزي لتنظيم القروض التي تمنحها البنوك لعملائها سواء من ناحية الحد الأقصى لها أو مدة سدادها أو سعر الفائدة الذي يسرى عليها لا يجوز أن يكون لها أي أثر رجعى على العقود التي أبرمتها البنوك مع عملائها في وقت سابق على صدورها ، فتظل هذه العقود وخاضعه للقرارات التي أبرمت في ظلها. لما كان ذلك وكان الثابت من الأوراق أن عقد القرض موضوع النزاع قد أبرم بتاريخ 2006/5/9 وإتفق فيه بالبند السابع فقرة(ب</w:t>
      </w:r>
      <w:r w:rsidRPr="00E1010E">
        <w:rPr>
          <w:sz w:val="32"/>
          <w:szCs w:val="32"/>
        </w:rPr>
        <w:t xml:space="preserve">) </w:t>
      </w:r>
      <w:r w:rsidRPr="00E1010E">
        <w:rPr>
          <w:sz w:val="32"/>
          <w:szCs w:val="32"/>
          <w:rtl/>
        </w:rPr>
        <w:t xml:space="preserve">على ان تسرى على القرض فائدة بسعر </w:t>
      </w:r>
      <w:r w:rsidRPr="00E1010E">
        <w:rPr>
          <w:sz w:val="32"/>
          <w:szCs w:val="32"/>
        </w:rPr>
        <w:t>4</w:t>
      </w:r>
      <w:r w:rsidRPr="00E1010E">
        <w:rPr>
          <w:rFonts w:ascii="Arial" w:hAnsi="Arial" w:cs="Arial"/>
          <w:sz w:val="32"/>
          <w:szCs w:val="32"/>
        </w:rPr>
        <w:t>٪</w:t>
      </w:r>
      <w:r w:rsidRPr="00E1010E">
        <w:rPr>
          <w:sz w:val="32"/>
          <w:szCs w:val="32"/>
        </w:rPr>
        <w:t xml:space="preserve"> </w:t>
      </w:r>
      <w:r w:rsidRPr="00E1010E">
        <w:rPr>
          <w:sz w:val="32"/>
          <w:szCs w:val="32"/>
          <w:rtl/>
        </w:rPr>
        <w:t>سنوياً تضاف الى سعر الخصم المعلن من البنك المركزي ونص في ذات البند على أن البنك الحق في تعديل أسعار الفائدة على القرض حسب الأسعار التي يعلنها البنك المركزي من حيث الاخر</w:t>
      </w:r>
      <w:r w:rsidRPr="00E1010E">
        <w:rPr>
          <w:sz w:val="32"/>
          <w:szCs w:val="32"/>
        </w:rPr>
        <w:t xml:space="preserve">. </w:t>
      </w:r>
      <w:r w:rsidRPr="00E1010E">
        <w:rPr>
          <w:sz w:val="32"/>
          <w:szCs w:val="32"/>
          <w:rtl/>
        </w:rPr>
        <w:t>فإن مؤدي ذلك أن الطرفين قد أتفقا على أن سعر الفائدة غير ثابت يتغير بحسب القرارات الصادرة من البنك المركزي بتحديد سعر الخصم وان يحق للبنك تعديل قيمة القسط الشهري ليتوافق مع ذلك. ومن ثم فلا يكون للقرارات الصادرة . من البنك المركزي بعد إبرام العقد أي أثر على ما إتفقا عليه في هذا الشأن. وإذ خالف الحكم المطعون فيه هذا النظر وأية الحكم الابتدائي فيما قضي به من عدم أحقية الطاعن في تعديل سعر الفائدة وما يترتب على ذلك من تثبيت عدد الأقساط وقيمتها المتفق عليها بالعقد فإن يكون قد خالف القانون واخطأ في تطبيقه بما يوجب تمييزه</w:t>
      </w:r>
      <w:r w:rsidRPr="00E1010E">
        <w:rPr>
          <w:sz w:val="32"/>
          <w:szCs w:val="32"/>
        </w:rPr>
        <w:t>.</w:t>
      </w:r>
    </w:p>
    <w:p w:rsidR="00E1010E" w:rsidRPr="00E1010E" w:rsidRDefault="00E1010E" w:rsidP="00E1010E">
      <w:pPr>
        <w:rPr>
          <w:sz w:val="32"/>
          <w:szCs w:val="32"/>
        </w:rPr>
      </w:pPr>
      <w:bookmarkStart w:id="17" w:name="Anchor442"/>
      <w:bookmarkEnd w:id="17"/>
      <w:r w:rsidRPr="00E1010E">
        <w:rPr>
          <w:sz w:val="32"/>
          <w:szCs w:val="32"/>
          <w:rtl/>
        </w:rPr>
        <w:t>وحيث إن موضوع الاستئناف رقم 2400 لسنة 2009 تجارى صالح للفصل فيه ولما تقدم، وكانت المستأنف ضدها الأولي قد أقامت الدعوى بغية القضاء بتثبيت سعر الفائدة الذي يسرى على مبلغ القرض الممنوح لها والقسط المستحق عليه، وذلك بالمخالفة لما إتفق عليه الطرفان وما اثبت بعقد القرض المبرم بينهما ،فإن دعواها تكون قد أقيمت على غير سند صحيح من الواقع أو القانون</w:t>
      </w:r>
      <w:r w:rsidRPr="00E1010E">
        <w:rPr>
          <w:sz w:val="32"/>
          <w:szCs w:val="32"/>
        </w:rPr>
        <w:t>.</w:t>
      </w:r>
    </w:p>
    <w:p w:rsidR="00E1010E" w:rsidRPr="00E1010E" w:rsidRDefault="00E1010E" w:rsidP="00E1010E">
      <w:pPr>
        <w:rPr>
          <w:sz w:val="32"/>
          <w:szCs w:val="32"/>
        </w:rPr>
      </w:pPr>
      <w:bookmarkStart w:id="18" w:name="Anchor474"/>
      <w:bookmarkEnd w:id="18"/>
      <w:r w:rsidRPr="00E1010E">
        <w:rPr>
          <w:sz w:val="32"/>
          <w:szCs w:val="32"/>
          <w:rtl/>
        </w:rPr>
        <w:t>وإذ إجابها الحكم المستأنف الى طلباتها فإنه بتعين الغاءه والقضاء برفض الدعوى</w:t>
      </w:r>
      <w:r w:rsidRPr="00E1010E">
        <w:rPr>
          <w:sz w:val="32"/>
          <w:szCs w:val="32"/>
        </w:rPr>
        <w:t>.</w:t>
      </w:r>
    </w:p>
    <w:p w:rsidR="00E1010E" w:rsidRPr="00E1010E" w:rsidRDefault="00E1010E" w:rsidP="00E1010E">
      <w:pPr>
        <w:rPr>
          <w:sz w:val="32"/>
          <w:szCs w:val="32"/>
        </w:rPr>
      </w:pPr>
      <w:bookmarkStart w:id="19" w:name="Anchor481"/>
      <w:bookmarkEnd w:id="19"/>
      <w:r w:rsidRPr="00E1010E">
        <w:rPr>
          <w:sz w:val="32"/>
          <w:szCs w:val="32"/>
          <w:rtl/>
        </w:rPr>
        <w:t>فلهذه الاسباب</w:t>
      </w:r>
    </w:p>
    <w:p w:rsidR="00E1010E" w:rsidRPr="00E1010E" w:rsidRDefault="00E1010E" w:rsidP="00E1010E">
      <w:pPr>
        <w:rPr>
          <w:sz w:val="32"/>
          <w:szCs w:val="32"/>
        </w:rPr>
      </w:pPr>
      <w:bookmarkStart w:id="20" w:name="Anchor483"/>
      <w:bookmarkEnd w:id="20"/>
      <w:r w:rsidRPr="00E1010E">
        <w:rPr>
          <w:sz w:val="32"/>
          <w:szCs w:val="32"/>
          <w:rtl/>
        </w:rPr>
        <w:t>حكمت المحكمة</w:t>
      </w:r>
      <w:r w:rsidRPr="00E1010E">
        <w:rPr>
          <w:sz w:val="32"/>
          <w:szCs w:val="32"/>
        </w:rPr>
        <w:t xml:space="preserve">: </w:t>
      </w:r>
      <w:r w:rsidRPr="00E1010E">
        <w:rPr>
          <w:sz w:val="32"/>
          <w:szCs w:val="32"/>
          <w:rtl/>
        </w:rPr>
        <w:t>أولا</w:t>
      </w:r>
      <w:r w:rsidRPr="00E1010E">
        <w:rPr>
          <w:sz w:val="32"/>
          <w:szCs w:val="32"/>
        </w:rPr>
        <w:t xml:space="preserve">:- </w:t>
      </w:r>
      <w:r w:rsidRPr="00E1010E">
        <w:rPr>
          <w:sz w:val="32"/>
          <w:szCs w:val="32"/>
          <w:rtl/>
        </w:rPr>
        <w:t xml:space="preserve">بقبول الطعن شكلاً وفي الموضوع بتمييز الحكم المطعون فيه والزمت المطعون ضدها الأولى المصروفات وعشرين ديناراً مقابل أتعاب المحاماة </w:t>
      </w:r>
      <w:r w:rsidRPr="00E1010E">
        <w:rPr>
          <w:sz w:val="32"/>
          <w:szCs w:val="32"/>
        </w:rPr>
        <w:t>.</w:t>
      </w:r>
    </w:p>
    <w:p w:rsidR="00E1010E" w:rsidRPr="00E1010E" w:rsidRDefault="00E1010E" w:rsidP="00E1010E">
      <w:pPr>
        <w:rPr>
          <w:sz w:val="32"/>
          <w:szCs w:val="32"/>
        </w:rPr>
      </w:pPr>
      <w:bookmarkStart w:id="21" w:name="Anchor501"/>
      <w:bookmarkEnd w:id="21"/>
      <w:r w:rsidRPr="00E1010E">
        <w:rPr>
          <w:sz w:val="32"/>
          <w:szCs w:val="32"/>
          <w:rtl/>
        </w:rPr>
        <w:t>ثانيا</w:t>
      </w:r>
      <w:r w:rsidRPr="00E1010E">
        <w:rPr>
          <w:sz w:val="32"/>
          <w:szCs w:val="32"/>
        </w:rPr>
        <w:t xml:space="preserve">: </w:t>
      </w:r>
      <w:r w:rsidRPr="00E1010E">
        <w:rPr>
          <w:sz w:val="32"/>
          <w:szCs w:val="32"/>
          <w:rtl/>
        </w:rPr>
        <w:t>في موضوع الاستئناف رقم 2400 لسنة 2009 تجارى بإلغاء الحكم المستأنف ورفض الدعوى والزمت المستأنف عليها الأولى المصروفات عن درجتي التقاضي وعشرين دينارا مقابل اتعاب المحاماة</w:t>
      </w:r>
      <w:r w:rsidRPr="00E1010E">
        <w:rPr>
          <w:sz w:val="32"/>
          <w:szCs w:val="32"/>
        </w:rPr>
        <w:t>.</w:t>
      </w:r>
    </w:p>
    <w:p w:rsidR="00E1010E" w:rsidRPr="00E1010E" w:rsidRDefault="00E1010E" w:rsidP="00E1010E">
      <w:pPr>
        <w:rPr>
          <w:sz w:val="32"/>
          <w:szCs w:val="32"/>
        </w:rPr>
      </w:pPr>
    </w:p>
    <w:p w:rsidR="00E1010E" w:rsidRPr="00E1010E" w:rsidRDefault="00E1010E" w:rsidP="00E1010E">
      <w:pPr>
        <w:rPr>
          <w:sz w:val="32"/>
          <w:szCs w:val="32"/>
        </w:rPr>
      </w:pPr>
      <w:bookmarkStart w:id="22" w:name="Anchor519"/>
      <w:bookmarkEnd w:id="22"/>
      <w:r w:rsidRPr="00E1010E">
        <w:rPr>
          <w:sz w:val="32"/>
          <w:szCs w:val="32"/>
        </w:rPr>
        <w:t>* * *</w:t>
      </w:r>
    </w:p>
    <w:p w:rsidR="00D32E0F" w:rsidRPr="00E1010E" w:rsidRDefault="00D32E0F">
      <w:pPr>
        <w:rPr>
          <w:sz w:val="32"/>
          <w:szCs w:val="32"/>
        </w:rPr>
      </w:pPr>
    </w:p>
    <w:sectPr w:rsidR="00D32E0F" w:rsidRPr="00E1010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6C"/>
    <w:rsid w:val="0003272B"/>
    <w:rsid w:val="00D32E0F"/>
    <w:rsid w:val="00E1010E"/>
    <w:rsid w:val="00FC7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1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509062">
      <w:bodyDiv w:val="1"/>
      <w:marLeft w:val="0"/>
      <w:marRight w:val="0"/>
      <w:marTop w:val="0"/>
      <w:marBottom w:val="0"/>
      <w:divBdr>
        <w:top w:val="none" w:sz="0" w:space="0" w:color="auto"/>
        <w:left w:val="none" w:sz="0" w:space="0" w:color="auto"/>
        <w:bottom w:val="none" w:sz="0" w:space="0" w:color="auto"/>
        <w:right w:val="none" w:sz="0" w:space="0" w:color="auto"/>
      </w:divBdr>
      <w:divsChild>
        <w:div w:id="1175921780">
          <w:marLeft w:val="0"/>
          <w:marRight w:val="0"/>
          <w:marTop w:val="0"/>
          <w:marBottom w:val="0"/>
          <w:divBdr>
            <w:top w:val="none" w:sz="0" w:space="0" w:color="auto"/>
            <w:left w:val="none" w:sz="0" w:space="0" w:color="auto"/>
            <w:bottom w:val="none" w:sz="0" w:space="0" w:color="auto"/>
            <w:right w:val="none" w:sz="0" w:space="0" w:color="auto"/>
          </w:divBdr>
        </w:div>
        <w:div w:id="30347828">
          <w:marLeft w:val="0"/>
          <w:marRight w:val="0"/>
          <w:marTop w:val="0"/>
          <w:marBottom w:val="0"/>
          <w:divBdr>
            <w:top w:val="none" w:sz="0" w:space="0" w:color="auto"/>
            <w:left w:val="none" w:sz="0" w:space="0" w:color="auto"/>
            <w:bottom w:val="none" w:sz="0" w:space="0" w:color="auto"/>
            <w:right w:val="none" w:sz="0" w:space="0" w:color="auto"/>
          </w:divBdr>
        </w:div>
        <w:div w:id="1404838856">
          <w:marLeft w:val="0"/>
          <w:marRight w:val="0"/>
          <w:marTop w:val="0"/>
          <w:marBottom w:val="0"/>
          <w:divBdr>
            <w:top w:val="none" w:sz="0" w:space="0" w:color="auto"/>
            <w:left w:val="none" w:sz="0" w:space="0" w:color="auto"/>
            <w:bottom w:val="none" w:sz="0" w:space="0" w:color="auto"/>
            <w:right w:val="none" w:sz="0" w:space="0" w:color="auto"/>
          </w:divBdr>
        </w:div>
        <w:div w:id="1308625893">
          <w:marLeft w:val="0"/>
          <w:marRight w:val="0"/>
          <w:marTop w:val="0"/>
          <w:marBottom w:val="0"/>
          <w:divBdr>
            <w:top w:val="none" w:sz="0" w:space="0" w:color="auto"/>
            <w:left w:val="none" w:sz="0" w:space="0" w:color="auto"/>
            <w:bottom w:val="none" w:sz="0" w:space="0" w:color="auto"/>
            <w:right w:val="none" w:sz="0" w:space="0" w:color="auto"/>
          </w:divBdr>
        </w:div>
        <w:div w:id="1568222965">
          <w:marLeft w:val="0"/>
          <w:marRight w:val="0"/>
          <w:marTop w:val="0"/>
          <w:marBottom w:val="0"/>
          <w:divBdr>
            <w:top w:val="none" w:sz="0" w:space="0" w:color="auto"/>
            <w:left w:val="none" w:sz="0" w:space="0" w:color="auto"/>
            <w:bottom w:val="none" w:sz="0" w:space="0" w:color="auto"/>
            <w:right w:val="none" w:sz="0" w:space="0" w:color="auto"/>
          </w:divBdr>
        </w:div>
        <w:div w:id="73361931">
          <w:marLeft w:val="0"/>
          <w:marRight w:val="0"/>
          <w:marTop w:val="0"/>
          <w:marBottom w:val="0"/>
          <w:divBdr>
            <w:top w:val="none" w:sz="0" w:space="0" w:color="auto"/>
            <w:left w:val="none" w:sz="0" w:space="0" w:color="auto"/>
            <w:bottom w:val="none" w:sz="0" w:space="0" w:color="auto"/>
            <w:right w:val="none" w:sz="0" w:space="0" w:color="auto"/>
          </w:divBdr>
        </w:div>
        <w:div w:id="1514221852">
          <w:marLeft w:val="0"/>
          <w:marRight w:val="0"/>
          <w:marTop w:val="0"/>
          <w:marBottom w:val="0"/>
          <w:divBdr>
            <w:top w:val="none" w:sz="0" w:space="0" w:color="auto"/>
            <w:left w:val="none" w:sz="0" w:space="0" w:color="auto"/>
            <w:bottom w:val="none" w:sz="0" w:space="0" w:color="auto"/>
            <w:right w:val="none" w:sz="0" w:space="0" w:color="auto"/>
          </w:divBdr>
        </w:div>
        <w:div w:id="597567607">
          <w:marLeft w:val="0"/>
          <w:marRight w:val="0"/>
          <w:marTop w:val="0"/>
          <w:marBottom w:val="0"/>
          <w:divBdr>
            <w:top w:val="none" w:sz="0" w:space="0" w:color="auto"/>
            <w:left w:val="none" w:sz="0" w:space="0" w:color="auto"/>
            <w:bottom w:val="none" w:sz="0" w:space="0" w:color="auto"/>
            <w:right w:val="none" w:sz="0" w:space="0" w:color="auto"/>
          </w:divBdr>
        </w:div>
        <w:div w:id="2017150343">
          <w:marLeft w:val="0"/>
          <w:marRight w:val="0"/>
          <w:marTop w:val="0"/>
          <w:marBottom w:val="0"/>
          <w:divBdr>
            <w:top w:val="none" w:sz="0" w:space="0" w:color="auto"/>
            <w:left w:val="none" w:sz="0" w:space="0" w:color="auto"/>
            <w:bottom w:val="none" w:sz="0" w:space="0" w:color="auto"/>
            <w:right w:val="none" w:sz="0" w:space="0" w:color="auto"/>
          </w:divBdr>
        </w:div>
        <w:div w:id="1983383828">
          <w:marLeft w:val="0"/>
          <w:marRight w:val="0"/>
          <w:marTop w:val="0"/>
          <w:marBottom w:val="0"/>
          <w:divBdr>
            <w:top w:val="none" w:sz="0" w:space="0" w:color="auto"/>
            <w:left w:val="none" w:sz="0" w:space="0" w:color="auto"/>
            <w:bottom w:val="none" w:sz="0" w:space="0" w:color="auto"/>
            <w:right w:val="none" w:sz="0" w:space="0" w:color="auto"/>
          </w:divBdr>
        </w:div>
        <w:div w:id="1015880534">
          <w:marLeft w:val="0"/>
          <w:marRight w:val="0"/>
          <w:marTop w:val="0"/>
          <w:marBottom w:val="0"/>
          <w:divBdr>
            <w:top w:val="none" w:sz="0" w:space="0" w:color="auto"/>
            <w:left w:val="none" w:sz="0" w:space="0" w:color="auto"/>
            <w:bottom w:val="none" w:sz="0" w:space="0" w:color="auto"/>
            <w:right w:val="none" w:sz="0" w:space="0" w:color="auto"/>
          </w:divBdr>
        </w:div>
        <w:div w:id="1369796465">
          <w:marLeft w:val="0"/>
          <w:marRight w:val="0"/>
          <w:marTop w:val="0"/>
          <w:marBottom w:val="0"/>
          <w:divBdr>
            <w:top w:val="none" w:sz="0" w:space="0" w:color="auto"/>
            <w:left w:val="none" w:sz="0" w:space="0" w:color="auto"/>
            <w:bottom w:val="none" w:sz="0" w:space="0" w:color="auto"/>
            <w:right w:val="none" w:sz="0" w:space="0" w:color="auto"/>
          </w:divBdr>
        </w:div>
        <w:div w:id="1921863479">
          <w:marLeft w:val="0"/>
          <w:marRight w:val="0"/>
          <w:marTop w:val="0"/>
          <w:marBottom w:val="0"/>
          <w:divBdr>
            <w:top w:val="none" w:sz="0" w:space="0" w:color="auto"/>
            <w:left w:val="none" w:sz="0" w:space="0" w:color="auto"/>
            <w:bottom w:val="none" w:sz="0" w:space="0" w:color="auto"/>
            <w:right w:val="none" w:sz="0" w:space="0" w:color="auto"/>
          </w:divBdr>
        </w:div>
        <w:div w:id="93019454">
          <w:marLeft w:val="0"/>
          <w:marRight w:val="0"/>
          <w:marTop w:val="0"/>
          <w:marBottom w:val="0"/>
          <w:divBdr>
            <w:top w:val="none" w:sz="0" w:space="0" w:color="auto"/>
            <w:left w:val="none" w:sz="0" w:space="0" w:color="auto"/>
            <w:bottom w:val="none" w:sz="0" w:space="0" w:color="auto"/>
            <w:right w:val="none" w:sz="0" w:space="0" w:color="auto"/>
          </w:divBdr>
        </w:div>
        <w:div w:id="1231815622">
          <w:marLeft w:val="0"/>
          <w:marRight w:val="0"/>
          <w:marTop w:val="0"/>
          <w:marBottom w:val="0"/>
          <w:divBdr>
            <w:top w:val="none" w:sz="0" w:space="0" w:color="auto"/>
            <w:left w:val="none" w:sz="0" w:space="0" w:color="auto"/>
            <w:bottom w:val="none" w:sz="0" w:space="0" w:color="auto"/>
            <w:right w:val="none" w:sz="0" w:space="0" w:color="auto"/>
          </w:divBdr>
        </w:div>
        <w:div w:id="1406562400">
          <w:marLeft w:val="0"/>
          <w:marRight w:val="0"/>
          <w:marTop w:val="0"/>
          <w:marBottom w:val="0"/>
          <w:divBdr>
            <w:top w:val="none" w:sz="0" w:space="0" w:color="auto"/>
            <w:left w:val="none" w:sz="0" w:space="0" w:color="auto"/>
            <w:bottom w:val="none" w:sz="0" w:space="0" w:color="auto"/>
            <w:right w:val="none" w:sz="0" w:space="0" w:color="auto"/>
          </w:divBdr>
        </w:div>
        <w:div w:id="1244604689">
          <w:marLeft w:val="0"/>
          <w:marRight w:val="0"/>
          <w:marTop w:val="0"/>
          <w:marBottom w:val="0"/>
          <w:divBdr>
            <w:top w:val="none" w:sz="0" w:space="0" w:color="auto"/>
            <w:left w:val="none" w:sz="0" w:space="0" w:color="auto"/>
            <w:bottom w:val="none" w:sz="0" w:space="0" w:color="auto"/>
            <w:right w:val="none" w:sz="0" w:space="0" w:color="auto"/>
          </w:divBdr>
        </w:div>
        <w:div w:id="225069412">
          <w:marLeft w:val="0"/>
          <w:marRight w:val="0"/>
          <w:marTop w:val="0"/>
          <w:marBottom w:val="0"/>
          <w:divBdr>
            <w:top w:val="none" w:sz="0" w:space="0" w:color="auto"/>
            <w:left w:val="none" w:sz="0" w:space="0" w:color="auto"/>
            <w:bottom w:val="none" w:sz="0" w:space="0" w:color="auto"/>
            <w:right w:val="none" w:sz="0" w:space="0" w:color="auto"/>
          </w:divBdr>
        </w:div>
        <w:div w:id="436217796">
          <w:marLeft w:val="0"/>
          <w:marRight w:val="0"/>
          <w:marTop w:val="0"/>
          <w:marBottom w:val="0"/>
          <w:divBdr>
            <w:top w:val="none" w:sz="0" w:space="0" w:color="auto"/>
            <w:left w:val="none" w:sz="0" w:space="0" w:color="auto"/>
            <w:bottom w:val="none" w:sz="0" w:space="0" w:color="auto"/>
            <w:right w:val="none" w:sz="0" w:space="0" w:color="auto"/>
          </w:divBdr>
        </w:div>
      </w:divsChild>
    </w:div>
    <w:div w:id="1620838298">
      <w:bodyDiv w:val="1"/>
      <w:marLeft w:val="0"/>
      <w:marRight w:val="0"/>
      <w:marTop w:val="0"/>
      <w:marBottom w:val="0"/>
      <w:divBdr>
        <w:top w:val="none" w:sz="0" w:space="0" w:color="auto"/>
        <w:left w:val="none" w:sz="0" w:space="0" w:color="auto"/>
        <w:bottom w:val="none" w:sz="0" w:space="0" w:color="auto"/>
        <w:right w:val="none" w:sz="0" w:space="0" w:color="auto"/>
      </w:divBdr>
      <w:divsChild>
        <w:div w:id="1878813234">
          <w:marLeft w:val="0"/>
          <w:marRight w:val="0"/>
          <w:marTop w:val="0"/>
          <w:marBottom w:val="0"/>
          <w:divBdr>
            <w:top w:val="none" w:sz="0" w:space="0" w:color="auto"/>
            <w:left w:val="none" w:sz="0" w:space="0" w:color="auto"/>
            <w:bottom w:val="none" w:sz="0" w:space="0" w:color="auto"/>
            <w:right w:val="none" w:sz="0" w:space="0" w:color="auto"/>
          </w:divBdr>
        </w:div>
        <w:div w:id="536311801">
          <w:marLeft w:val="0"/>
          <w:marRight w:val="0"/>
          <w:marTop w:val="0"/>
          <w:marBottom w:val="0"/>
          <w:divBdr>
            <w:top w:val="none" w:sz="0" w:space="0" w:color="auto"/>
            <w:left w:val="none" w:sz="0" w:space="0" w:color="auto"/>
            <w:bottom w:val="none" w:sz="0" w:space="0" w:color="auto"/>
            <w:right w:val="none" w:sz="0" w:space="0" w:color="auto"/>
          </w:divBdr>
        </w:div>
        <w:div w:id="1163475662">
          <w:marLeft w:val="0"/>
          <w:marRight w:val="0"/>
          <w:marTop w:val="0"/>
          <w:marBottom w:val="0"/>
          <w:divBdr>
            <w:top w:val="none" w:sz="0" w:space="0" w:color="auto"/>
            <w:left w:val="none" w:sz="0" w:space="0" w:color="auto"/>
            <w:bottom w:val="none" w:sz="0" w:space="0" w:color="auto"/>
            <w:right w:val="none" w:sz="0" w:space="0" w:color="auto"/>
          </w:divBdr>
        </w:div>
        <w:div w:id="258412007">
          <w:marLeft w:val="0"/>
          <w:marRight w:val="0"/>
          <w:marTop w:val="0"/>
          <w:marBottom w:val="0"/>
          <w:divBdr>
            <w:top w:val="none" w:sz="0" w:space="0" w:color="auto"/>
            <w:left w:val="none" w:sz="0" w:space="0" w:color="auto"/>
            <w:bottom w:val="none" w:sz="0" w:space="0" w:color="auto"/>
            <w:right w:val="none" w:sz="0" w:space="0" w:color="auto"/>
          </w:divBdr>
        </w:div>
        <w:div w:id="1495492369">
          <w:marLeft w:val="0"/>
          <w:marRight w:val="0"/>
          <w:marTop w:val="0"/>
          <w:marBottom w:val="0"/>
          <w:divBdr>
            <w:top w:val="none" w:sz="0" w:space="0" w:color="auto"/>
            <w:left w:val="none" w:sz="0" w:space="0" w:color="auto"/>
            <w:bottom w:val="none" w:sz="0" w:space="0" w:color="auto"/>
            <w:right w:val="none" w:sz="0" w:space="0" w:color="auto"/>
          </w:divBdr>
        </w:div>
        <w:div w:id="213782595">
          <w:marLeft w:val="0"/>
          <w:marRight w:val="0"/>
          <w:marTop w:val="0"/>
          <w:marBottom w:val="0"/>
          <w:divBdr>
            <w:top w:val="none" w:sz="0" w:space="0" w:color="auto"/>
            <w:left w:val="none" w:sz="0" w:space="0" w:color="auto"/>
            <w:bottom w:val="none" w:sz="0" w:space="0" w:color="auto"/>
            <w:right w:val="none" w:sz="0" w:space="0" w:color="auto"/>
          </w:divBdr>
        </w:div>
        <w:div w:id="1864630497">
          <w:marLeft w:val="0"/>
          <w:marRight w:val="0"/>
          <w:marTop w:val="0"/>
          <w:marBottom w:val="0"/>
          <w:divBdr>
            <w:top w:val="none" w:sz="0" w:space="0" w:color="auto"/>
            <w:left w:val="none" w:sz="0" w:space="0" w:color="auto"/>
            <w:bottom w:val="none" w:sz="0" w:space="0" w:color="auto"/>
            <w:right w:val="none" w:sz="0" w:space="0" w:color="auto"/>
          </w:divBdr>
        </w:div>
        <w:div w:id="920455107">
          <w:marLeft w:val="0"/>
          <w:marRight w:val="0"/>
          <w:marTop w:val="0"/>
          <w:marBottom w:val="0"/>
          <w:divBdr>
            <w:top w:val="none" w:sz="0" w:space="0" w:color="auto"/>
            <w:left w:val="none" w:sz="0" w:space="0" w:color="auto"/>
            <w:bottom w:val="none" w:sz="0" w:space="0" w:color="auto"/>
            <w:right w:val="none" w:sz="0" w:space="0" w:color="auto"/>
          </w:divBdr>
        </w:div>
        <w:div w:id="1157380677">
          <w:marLeft w:val="0"/>
          <w:marRight w:val="0"/>
          <w:marTop w:val="0"/>
          <w:marBottom w:val="0"/>
          <w:divBdr>
            <w:top w:val="none" w:sz="0" w:space="0" w:color="auto"/>
            <w:left w:val="none" w:sz="0" w:space="0" w:color="auto"/>
            <w:bottom w:val="none" w:sz="0" w:space="0" w:color="auto"/>
            <w:right w:val="none" w:sz="0" w:space="0" w:color="auto"/>
          </w:divBdr>
        </w:div>
        <w:div w:id="71590448">
          <w:marLeft w:val="0"/>
          <w:marRight w:val="0"/>
          <w:marTop w:val="0"/>
          <w:marBottom w:val="0"/>
          <w:divBdr>
            <w:top w:val="none" w:sz="0" w:space="0" w:color="auto"/>
            <w:left w:val="none" w:sz="0" w:space="0" w:color="auto"/>
            <w:bottom w:val="none" w:sz="0" w:space="0" w:color="auto"/>
            <w:right w:val="none" w:sz="0" w:space="0" w:color="auto"/>
          </w:divBdr>
        </w:div>
        <w:div w:id="2106069663">
          <w:marLeft w:val="0"/>
          <w:marRight w:val="0"/>
          <w:marTop w:val="0"/>
          <w:marBottom w:val="0"/>
          <w:divBdr>
            <w:top w:val="none" w:sz="0" w:space="0" w:color="auto"/>
            <w:left w:val="none" w:sz="0" w:space="0" w:color="auto"/>
            <w:bottom w:val="none" w:sz="0" w:space="0" w:color="auto"/>
            <w:right w:val="none" w:sz="0" w:space="0" w:color="auto"/>
          </w:divBdr>
        </w:div>
        <w:div w:id="1904288426">
          <w:marLeft w:val="0"/>
          <w:marRight w:val="0"/>
          <w:marTop w:val="0"/>
          <w:marBottom w:val="0"/>
          <w:divBdr>
            <w:top w:val="none" w:sz="0" w:space="0" w:color="auto"/>
            <w:left w:val="none" w:sz="0" w:space="0" w:color="auto"/>
            <w:bottom w:val="none" w:sz="0" w:space="0" w:color="auto"/>
            <w:right w:val="none" w:sz="0" w:space="0" w:color="auto"/>
          </w:divBdr>
        </w:div>
        <w:div w:id="1699234369">
          <w:marLeft w:val="0"/>
          <w:marRight w:val="0"/>
          <w:marTop w:val="0"/>
          <w:marBottom w:val="0"/>
          <w:divBdr>
            <w:top w:val="none" w:sz="0" w:space="0" w:color="auto"/>
            <w:left w:val="none" w:sz="0" w:space="0" w:color="auto"/>
            <w:bottom w:val="none" w:sz="0" w:space="0" w:color="auto"/>
            <w:right w:val="none" w:sz="0" w:space="0" w:color="auto"/>
          </w:divBdr>
        </w:div>
        <w:div w:id="1601568839">
          <w:marLeft w:val="0"/>
          <w:marRight w:val="0"/>
          <w:marTop w:val="0"/>
          <w:marBottom w:val="0"/>
          <w:divBdr>
            <w:top w:val="none" w:sz="0" w:space="0" w:color="auto"/>
            <w:left w:val="none" w:sz="0" w:space="0" w:color="auto"/>
            <w:bottom w:val="none" w:sz="0" w:space="0" w:color="auto"/>
            <w:right w:val="none" w:sz="0" w:space="0" w:color="auto"/>
          </w:divBdr>
        </w:div>
        <w:div w:id="855775814">
          <w:marLeft w:val="0"/>
          <w:marRight w:val="0"/>
          <w:marTop w:val="0"/>
          <w:marBottom w:val="0"/>
          <w:divBdr>
            <w:top w:val="none" w:sz="0" w:space="0" w:color="auto"/>
            <w:left w:val="none" w:sz="0" w:space="0" w:color="auto"/>
            <w:bottom w:val="none" w:sz="0" w:space="0" w:color="auto"/>
            <w:right w:val="none" w:sz="0" w:space="0" w:color="auto"/>
          </w:divBdr>
        </w:div>
        <w:div w:id="125440930">
          <w:marLeft w:val="0"/>
          <w:marRight w:val="0"/>
          <w:marTop w:val="0"/>
          <w:marBottom w:val="0"/>
          <w:divBdr>
            <w:top w:val="none" w:sz="0" w:space="0" w:color="auto"/>
            <w:left w:val="none" w:sz="0" w:space="0" w:color="auto"/>
            <w:bottom w:val="none" w:sz="0" w:space="0" w:color="auto"/>
            <w:right w:val="none" w:sz="0" w:space="0" w:color="auto"/>
          </w:divBdr>
        </w:div>
        <w:div w:id="886379891">
          <w:marLeft w:val="0"/>
          <w:marRight w:val="0"/>
          <w:marTop w:val="0"/>
          <w:marBottom w:val="0"/>
          <w:divBdr>
            <w:top w:val="none" w:sz="0" w:space="0" w:color="auto"/>
            <w:left w:val="none" w:sz="0" w:space="0" w:color="auto"/>
            <w:bottom w:val="none" w:sz="0" w:space="0" w:color="auto"/>
            <w:right w:val="none" w:sz="0" w:space="0" w:color="auto"/>
          </w:divBdr>
        </w:div>
        <w:div w:id="1908221409">
          <w:marLeft w:val="0"/>
          <w:marRight w:val="0"/>
          <w:marTop w:val="0"/>
          <w:marBottom w:val="0"/>
          <w:divBdr>
            <w:top w:val="none" w:sz="0" w:space="0" w:color="auto"/>
            <w:left w:val="none" w:sz="0" w:space="0" w:color="auto"/>
            <w:bottom w:val="none" w:sz="0" w:space="0" w:color="auto"/>
            <w:right w:val="none" w:sz="0" w:space="0" w:color="auto"/>
          </w:divBdr>
        </w:div>
        <w:div w:id="129645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2020-04-26T13:08:00Z</dcterms:created>
  <dcterms:modified xsi:type="dcterms:W3CDTF">2020-04-26T13:08:00Z</dcterms:modified>
</cp:coreProperties>
</file>