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39" w:rsidRPr="00A52B39" w:rsidRDefault="00A52B39" w:rsidP="00A52B39">
      <w:pPr>
        <w:jc w:val="center"/>
        <w:rPr>
          <w:sz w:val="32"/>
          <w:szCs w:val="32"/>
        </w:rPr>
      </w:pPr>
      <w:bookmarkStart w:id="0" w:name="Anchor1"/>
      <w:bookmarkEnd w:id="0"/>
      <w:r w:rsidRPr="00A52B39">
        <w:rPr>
          <w:sz w:val="32"/>
          <w:szCs w:val="32"/>
          <w:rtl/>
        </w:rPr>
        <w:t xml:space="preserve">الطعن رقم </w:t>
      </w:r>
      <w:r w:rsidRPr="00A52B39">
        <w:rPr>
          <w:sz w:val="32"/>
          <w:szCs w:val="32"/>
        </w:rPr>
        <w:t>1326/201</w:t>
      </w:r>
      <w:bookmarkStart w:id="1" w:name="_GoBack"/>
      <w:bookmarkEnd w:id="1"/>
      <w:r w:rsidRPr="00A52B39">
        <w:rPr>
          <w:sz w:val="32"/>
          <w:szCs w:val="32"/>
        </w:rPr>
        <w:t>1</w:t>
      </w:r>
    </w:p>
    <w:p w:rsidR="00A52B39" w:rsidRPr="00A52B39" w:rsidRDefault="00A52B39" w:rsidP="00A52B39">
      <w:pPr>
        <w:rPr>
          <w:sz w:val="32"/>
          <w:szCs w:val="32"/>
        </w:rPr>
      </w:pPr>
      <w:bookmarkStart w:id="2" w:name="Anchor7"/>
      <w:bookmarkEnd w:id="2"/>
      <w:r w:rsidRPr="00A52B39">
        <w:rPr>
          <w:sz w:val="32"/>
          <w:szCs w:val="32"/>
          <w:rtl/>
        </w:rPr>
        <w:t>هيئة المحكمة</w:t>
      </w:r>
      <w:r w:rsidRPr="00A52B39">
        <w:rPr>
          <w:sz w:val="32"/>
          <w:szCs w:val="32"/>
        </w:rPr>
        <w:t xml:space="preserve">: </w:t>
      </w:r>
      <w:r w:rsidRPr="00A52B39">
        <w:rPr>
          <w:sz w:val="32"/>
          <w:szCs w:val="32"/>
          <w:rtl/>
        </w:rPr>
        <w:t>برئاسة السيد المستشار يونس محمد الياسين وكيل المحكمة وعضوية السادة المستشارين عادل علي البحوه ومحمد أحمد رشدي وإبراهيم الضبع وهشام فراويله</w:t>
      </w:r>
    </w:p>
    <w:bookmarkStart w:id="3" w:name="Anchor23"/>
    <w:bookmarkEnd w:id="3"/>
    <w:p w:rsidR="00A52B39" w:rsidRPr="00A52B39" w:rsidRDefault="00A52B39" w:rsidP="00A52B39">
      <w:pPr>
        <w:rPr>
          <w:sz w:val="32"/>
          <w:szCs w:val="32"/>
        </w:rPr>
      </w:pPr>
      <w:r w:rsidRPr="00A52B39">
        <w:rPr>
          <w:sz w:val="32"/>
          <w:szCs w:val="32"/>
        </w:rPr>
        <w:fldChar w:fldCharType="begin"/>
      </w:r>
      <w:r w:rsidRPr="00A52B39">
        <w:rPr>
          <w:sz w:val="32"/>
          <w:szCs w:val="32"/>
        </w:rPr>
        <w:instrText xml:space="preserve"> HYPERLINK "http://www.law.gov.kw/KWT_CC-Ar/00_2014/00_%D8%A7%D9%84%D8%AF%D8%A7%D8%A6%D8%B1%D8%A9%20%D8%A7%D9%84%D8%AA%D8%AC%D8%A7%D8%B1%D9%8A%D8%A9/KWT-CC-Ar_2014-05-25_01326_Taan.html" \l "TM2014_1326_1" </w:instrText>
      </w:r>
      <w:r w:rsidRPr="00A52B39">
        <w:rPr>
          <w:sz w:val="32"/>
          <w:szCs w:val="32"/>
        </w:rPr>
        <w:fldChar w:fldCharType="separate"/>
      </w:r>
      <w:r w:rsidRPr="00A52B39">
        <w:rPr>
          <w:rStyle w:val="Hyperlink"/>
          <w:sz w:val="32"/>
          <w:szCs w:val="32"/>
        </w:rPr>
        <w:t xml:space="preserve">1- </w:t>
      </w:r>
      <w:r w:rsidRPr="00A52B39">
        <w:rPr>
          <w:rStyle w:val="Hyperlink"/>
          <w:sz w:val="32"/>
          <w:szCs w:val="32"/>
          <w:rtl/>
        </w:rPr>
        <w:t>إن الحكم الصادر في دعوى دين القرض المصرفي وفوائده هو حكم صحيح لإستناده الى تقرير لجنة الخبراء المنتدبة في الدعوى المبني على أساس لا مخالفة فيها للقانون</w:t>
      </w:r>
      <w:r w:rsidRPr="00A52B39">
        <w:rPr>
          <w:rStyle w:val="Hyperlink"/>
          <w:sz w:val="32"/>
          <w:szCs w:val="32"/>
        </w:rPr>
        <w:t>.</w:t>
      </w:r>
      <w:r w:rsidRPr="00A52B39">
        <w:rPr>
          <w:sz w:val="32"/>
          <w:szCs w:val="32"/>
        </w:rPr>
        <w:fldChar w:fldCharType="end"/>
      </w:r>
    </w:p>
    <w:bookmarkStart w:id="4" w:name="Anchor40"/>
    <w:bookmarkEnd w:id="4"/>
    <w:p w:rsidR="00A52B39" w:rsidRPr="00A52B39" w:rsidRDefault="00A52B39" w:rsidP="00A52B39">
      <w:pPr>
        <w:rPr>
          <w:sz w:val="32"/>
          <w:szCs w:val="32"/>
        </w:rPr>
      </w:pPr>
      <w:r w:rsidRPr="00A52B39">
        <w:rPr>
          <w:sz w:val="32"/>
          <w:szCs w:val="32"/>
        </w:rPr>
        <w:fldChar w:fldCharType="begin"/>
      </w:r>
      <w:r w:rsidRPr="00A52B39">
        <w:rPr>
          <w:sz w:val="32"/>
          <w:szCs w:val="32"/>
        </w:rPr>
        <w:instrText xml:space="preserve"> HYPERLINK "http://www.law.gov.kw/KWT_CC-Ar/00_2014/00_%D8%A7%D9%84%D8%AF%D8%A7%D8%A6%D8%B1%D8%A9%20%D8%A7%D9%84%D8%AA%D8%AC%D8%A7%D8%B1%D9%8A%D8%A9/KWT-CC-Ar_2014-05-25_01326_Taan.html" \l "TM2014_1326_2" </w:instrText>
      </w:r>
      <w:r w:rsidRPr="00A52B39">
        <w:rPr>
          <w:sz w:val="32"/>
          <w:szCs w:val="32"/>
        </w:rPr>
        <w:fldChar w:fldCharType="separate"/>
      </w:r>
      <w:r w:rsidRPr="00A52B39">
        <w:rPr>
          <w:rStyle w:val="Hyperlink"/>
          <w:sz w:val="32"/>
          <w:szCs w:val="32"/>
        </w:rPr>
        <w:t xml:space="preserve">2- </w:t>
      </w:r>
      <w:r w:rsidRPr="00A52B39">
        <w:rPr>
          <w:rStyle w:val="Hyperlink"/>
          <w:sz w:val="32"/>
          <w:szCs w:val="32"/>
          <w:rtl/>
        </w:rPr>
        <w:t>لا يجوز أن يزيد قسط القرض وفوائده عن نسبة 50٪ من دخل العميل الشهري</w:t>
      </w:r>
      <w:r w:rsidRPr="00A52B39">
        <w:rPr>
          <w:rStyle w:val="Hyperlink"/>
          <w:sz w:val="32"/>
          <w:szCs w:val="32"/>
        </w:rPr>
        <w:t>.</w:t>
      </w:r>
      <w:r w:rsidRPr="00A52B39">
        <w:rPr>
          <w:sz w:val="32"/>
          <w:szCs w:val="32"/>
        </w:rPr>
        <w:fldChar w:fldCharType="end"/>
      </w:r>
      <w:r w:rsidRPr="00A52B39">
        <w:rPr>
          <w:sz w:val="32"/>
          <w:szCs w:val="32"/>
        </w:rPr>
        <w:br/>
      </w:r>
      <w:r w:rsidRPr="00A52B39">
        <w:rPr>
          <w:sz w:val="32"/>
          <w:szCs w:val="32"/>
        </w:rPr>
        <w:br/>
      </w:r>
      <w:r w:rsidRPr="00A52B39">
        <w:rPr>
          <w:sz w:val="32"/>
          <w:szCs w:val="32"/>
          <w:u w:val="single"/>
          <w:rtl/>
        </w:rPr>
        <w:t>ملاحظة</w:t>
      </w:r>
      <w:r w:rsidRPr="00A52B39">
        <w:rPr>
          <w:sz w:val="32"/>
          <w:szCs w:val="32"/>
          <w:u w:val="single"/>
        </w:rPr>
        <w:t xml:space="preserve"> :</w:t>
      </w:r>
      <w:r w:rsidRPr="00A52B39">
        <w:rPr>
          <w:sz w:val="32"/>
          <w:szCs w:val="32"/>
        </w:rPr>
        <w:br/>
      </w:r>
      <w:r w:rsidRPr="00A52B3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52B39" w:rsidRPr="00A52B39" w:rsidRDefault="00A52B39" w:rsidP="00A52B39">
      <w:pPr>
        <w:rPr>
          <w:sz w:val="32"/>
          <w:szCs w:val="32"/>
        </w:rPr>
      </w:pPr>
      <w:bookmarkStart w:id="5" w:name="Anchor48"/>
      <w:bookmarkEnd w:id="5"/>
      <w:r w:rsidRPr="00A52B39">
        <w:rPr>
          <w:b/>
          <w:bCs/>
          <w:sz w:val="32"/>
          <w:szCs w:val="32"/>
          <w:rtl/>
        </w:rPr>
        <w:t>المحكمة</w:t>
      </w:r>
    </w:p>
    <w:p w:rsidR="00A52B39" w:rsidRPr="00A52B39" w:rsidRDefault="00A52B39" w:rsidP="00A52B39">
      <w:pPr>
        <w:rPr>
          <w:sz w:val="32"/>
          <w:szCs w:val="32"/>
        </w:rPr>
      </w:pPr>
      <w:bookmarkStart w:id="6" w:name="Anchor49"/>
      <w:bookmarkEnd w:id="6"/>
      <w:r w:rsidRPr="00A52B39">
        <w:rPr>
          <w:sz w:val="32"/>
          <w:szCs w:val="32"/>
          <w:rtl/>
        </w:rPr>
        <w:t>بعد الاطلاع على الأوراق، وسماع المرافعة، وبعد المداولة</w:t>
      </w:r>
      <w:r w:rsidRPr="00A52B39">
        <w:rPr>
          <w:sz w:val="32"/>
          <w:szCs w:val="32"/>
        </w:rPr>
        <w:t>.</w:t>
      </w:r>
    </w:p>
    <w:p w:rsidR="00A52B39" w:rsidRPr="00A52B39" w:rsidRDefault="00A52B39" w:rsidP="00A52B39">
      <w:pPr>
        <w:rPr>
          <w:sz w:val="32"/>
          <w:szCs w:val="32"/>
        </w:rPr>
      </w:pPr>
      <w:bookmarkStart w:id="7" w:name="Anchor56"/>
      <w:bookmarkEnd w:id="7"/>
      <w:r w:rsidRPr="00A52B39">
        <w:rPr>
          <w:sz w:val="32"/>
          <w:szCs w:val="32"/>
          <w:rtl/>
        </w:rPr>
        <w:t xml:space="preserve">حيث إن الوقائع سبق أن حصلها الحكم الصادر من هذه المحكمة بجلسة 2012/11/18 وتوجر في أن المستأنف أقام الدعوى رقم 1967 لسنة 2010 تجاري مدني كلي حكومة على البنكين المستأنف ضدهما بطلب الحكم بندب خبير تكون مهمته الاطلاع على عقد القرض المبرم بينه وبين البنك المستأنف ضده الأول وكذلك على كشف الحساب الخاص به لبيان ما تم سداده من أصل دين هذا القرض وفوائده، وبيان ما إذا كان البنك قد تحصل على فوائد تزيد عن المستحق له وما إذا كانت جاوزت أصل دين القرض من عدمه ومدى تأثير ذلك إن كان على قيمة القسط وعدد الأقساط، وعلى أن يكون ذلك في ضوء تعليمات البنك المستأنف ضده الثاني، وذلك تمهيداً للقضاء بما يسفر عنه تقرير الخبير، وقال في بيان ذلك أنه تحصل على قرض مقداره مبلغ 42,973,000 دينار من المستأنف ضده الأول بتاريخ 2006/5/22 يسدد على أقساط شهرية عددها 180 قسطاً تبدأ من 2006/6/22 وتنتهي في 2021/5/22، وأنه فوجئ بأن البنك يتحصل على مبالغ تزيد عن قيمة المستحق له فأقام الدعوى، وبعد أن ندبت المحكمة خبيراً حكمت برفض الدعوى، فأقام الاستئناف رقم 1680 لسنة 2011 تجاري، وقضت محكمة الاستئناف بتأييد الحكم المستأنف، وهو ما طعن عليه المستأنف بطريق التمييز، </w:t>
      </w:r>
      <w:r w:rsidRPr="00A52B39">
        <w:rPr>
          <w:sz w:val="32"/>
          <w:szCs w:val="32"/>
          <w:rtl/>
        </w:rPr>
        <w:lastRenderedPageBreak/>
        <w:t>وأصدرت هذه المحكمة قضاءها سالف الإشارة إليه بتاريخ 2012/11/18 والذي قضى بتمييز الحكم المطعون فيه وقبل الفصل في موضوع الاستئناف بندب لجنة خبراء حسابين من إدارة خبراء وزارة العدل تكون مهمتهم الاطلاع على أوراق عقد قرض النزاع لبيان سبب خصم البنك المستأنف ضده مبلغ 197 دينار شهرياً من حساب المستأنف لديه، وما إذا كان هذا الخصم يتعلق بدين القرض من عدمه، وما إذا كان هذا الخصم يجعل قيمة ما يخصمه منه يجاوز نسبة الـ50٪ من دخله طبقاً لتعليمات البنك المركزي وأثر ذلك على مقدار فوائد القرض وقيمة القسط الشهري المسدد، ثم بيان ما إذا كان البنك المستأنف ضده الأول تحصل على مبلغ 2645,418 دينار من المستأنف مقابل التأمين على القرض وما إذا كان أبرم وثيقة تأمين بالفعل من عدمه</w:t>
      </w:r>
      <w:r w:rsidRPr="00A52B39">
        <w:rPr>
          <w:sz w:val="32"/>
          <w:szCs w:val="32"/>
        </w:rPr>
        <w:t>.</w:t>
      </w:r>
    </w:p>
    <w:p w:rsidR="00A52B39" w:rsidRPr="00A52B39" w:rsidRDefault="00A52B39" w:rsidP="00A52B39">
      <w:pPr>
        <w:rPr>
          <w:sz w:val="32"/>
          <w:szCs w:val="32"/>
        </w:rPr>
      </w:pPr>
      <w:bookmarkStart w:id="8" w:name="Anchor206"/>
      <w:bookmarkEnd w:id="8"/>
      <w:r w:rsidRPr="00A52B39">
        <w:rPr>
          <w:sz w:val="32"/>
          <w:szCs w:val="32"/>
          <w:rtl/>
        </w:rPr>
        <w:t xml:space="preserve">وحيث إن لجنة الخبراء المنتدبة باشرت المأمورية المكلفة بها وأودعت عنها تقريرها المؤرخ 2013/11/11، برقم 1245/ت/2013، وانتهت في رأيها النهائي إلى أن مبلغ الـ197 دينار الذي يقوم بخصمه البنك المستأنف ضده الأول شهرياً من حساب المستأنف لديه، وهذا الخصم بموجب أمر دفع دائم موقع من المستأنف لا يجوز إلغائه، كما أنه لا علاقة بينه وبين دين القرض محل النزاع، كما انتهى تقرير اللجنة إلى أن دخل المستأنف الشهري مقداره 727 مرتب بالإضافة إلى </w:t>
      </w:r>
      <w:r w:rsidRPr="00A52B39">
        <w:rPr>
          <w:sz w:val="32"/>
          <w:szCs w:val="32"/>
        </w:rPr>
        <w:t xml:space="preserve">100 </w:t>
      </w:r>
      <w:r w:rsidRPr="00A52B39">
        <w:rPr>
          <w:sz w:val="32"/>
          <w:szCs w:val="32"/>
          <w:rtl/>
        </w:rPr>
        <w:t>دينار بدل سكن وأن البنك يخصم قيمة القسط الشهري لدين القرض في حدود الـ50٪ منه إلا أنه في بعض الأشهر كان يتجاوز هذه النسبة، أما بالنسبة لمقدار الفوائد فإن البنك كان ملتزما فيها بتعليمات البنك المركزي، وبخصوص المبلغ الذي حصل عليه البنك مقابل التأمين على القرض فإنه قام بعمل وثيقة تأمين جماعي للعملاء تغطي القروض الممنوحة لهم، ولم يتحصل البنك على فوائد تخص مبلغ التأمين</w:t>
      </w:r>
      <w:r w:rsidRPr="00A52B39">
        <w:rPr>
          <w:sz w:val="32"/>
          <w:szCs w:val="32"/>
        </w:rPr>
        <w:t>.</w:t>
      </w:r>
    </w:p>
    <w:p w:rsidR="00A52B39" w:rsidRPr="00A52B39" w:rsidRDefault="00A52B39" w:rsidP="00A52B39">
      <w:pPr>
        <w:rPr>
          <w:sz w:val="32"/>
          <w:szCs w:val="32"/>
        </w:rPr>
      </w:pPr>
      <w:bookmarkStart w:id="9" w:name="Anchor281"/>
      <w:bookmarkEnd w:id="9"/>
      <w:r w:rsidRPr="00A52B39">
        <w:rPr>
          <w:sz w:val="32"/>
          <w:szCs w:val="32"/>
          <w:rtl/>
        </w:rPr>
        <w:t xml:space="preserve">وحيث أودع تقرير لجنة الخبرة السابق الإشارة إليه، وأخطر الطرفين وحضراً بالجلسة الأخيرة كل منهما بما يمثله قانوناً، وقدم الحاضر عن المستأنف مذكرة التمس في نهايتها اعتبار المبلغ المتبقي في ذمته بشأن أمر الدفع الدائم الموقع منه مبلغ مقداره 2248 دينار وأن يستمر خصمه بمعرفة البنك المستأنف ضده الأول بواقع 197 دينار شهرياً حتى تمام سداده، كما طلب استرداد كامل مبلغ التأمين على القرض محل النزاع، وفي حالة اعتماد عقد التأمين فإنه يحق له استرداد مبلغ </w:t>
      </w:r>
      <w:r w:rsidRPr="00A52B39">
        <w:rPr>
          <w:sz w:val="32"/>
          <w:szCs w:val="32"/>
        </w:rPr>
        <w:t xml:space="preserve">440,103 </w:t>
      </w:r>
      <w:r w:rsidRPr="00A52B39">
        <w:rPr>
          <w:sz w:val="32"/>
          <w:szCs w:val="32"/>
          <w:rtl/>
        </w:rPr>
        <w:t xml:space="preserve">دينار فرق أقساط التأمين بالإضافة إلى إلزام البنك ألا يتقاضى منه قسط شهري يزيد عن </w:t>
      </w:r>
      <w:r w:rsidRPr="00A52B39">
        <w:rPr>
          <w:sz w:val="32"/>
          <w:szCs w:val="32"/>
        </w:rPr>
        <w:t>50</w:t>
      </w:r>
      <w:r w:rsidRPr="00A52B39">
        <w:rPr>
          <w:rFonts w:ascii="Arial" w:hAnsi="Arial" w:cs="Arial"/>
          <w:sz w:val="32"/>
          <w:szCs w:val="32"/>
        </w:rPr>
        <w:t>٪</w:t>
      </w:r>
      <w:r w:rsidRPr="00A52B39">
        <w:rPr>
          <w:sz w:val="32"/>
          <w:szCs w:val="32"/>
        </w:rPr>
        <w:t xml:space="preserve"> </w:t>
      </w:r>
      <w:r w:rsidRPr="00A52B39">
        <w:rPr>
          <w:sz w:val="32"/>
          <w:szCs w:val="32"/>
          <w:rtl/>
        </w:rPr>
        <w:t>من دخله الشهري، واحتياطياً إعادة المأمورية للخبرة لاحتساب ما تم خصمه منه من أقساط القرض بالزيادة</w:t>
      </w:r>
      <w:r w:rsidRPr="00A52B39">
        <w:rPr>
          <w:sz w:val="32"/>
          <w:szCs w:val="32"/>
        </w:rPr>
        <w:t>.</w:t>
      </w:r>
    </w:p>
    <w:p w:rsidR="00A52B39" w:rsidRPr="00A52B39" w:rsidRDefault="00A52B39" w:rsidP="00A52B39">
      <w:pPr>
        <w:rPr>
          <w:sz w:val="32"/>
          <w:szCs w:val="32"/>
        </w:rPr>
      </w:pPr>
      <w:bookmarkStart w:id="10" w:name="Anchor341"/>
      <w:bookmarkEnd w:id="10"/>
      <w:r w:rsidRPr="00A52B39">
        <w:rPr>
          <w:sz w:val="32"/>
          <w:szCs w:val="32"/>
          <w:rtl/>
        </w:rPr>
        <w:t>كما قدم الحاضر عن البنك المستأنف ضده الأول مذكرة بدفاعه التمس فيها رفض الاستئناف وتأييد الحكم المستأنف لالتزامه بانفاقه مع المستأنف بالنسبة لشروط القرض ولإعماله لتعليمات البنك المركزي بخصوص خصم أقساط القرض وفوائده وعدم تجاوزه نسبة الـ50٪ لدخل المستأنف الشهري وكذا نسبة الفائدة</w:t>
      </w:r>
      <w:r w:rsidRPr="00A52B39">
        <w:rPr>
          <w:sz w:val="32"/>
          <w:szCs w:val="32"/>
        </w:rPr>
        <w:t>.</w:t>
      </w:r>
    </w:p>
    <w:p w:rsidR="00A52B39" w:rsidRPr="00A52B39" w:rsidRDefault="00A52B39" w:rsidP="00A52B39">
      <w:pPr>
        <w:rPr>
          <w:sz w:val="32"/>
          <w:szCs w:val="32"/>
        </w:rPr>
      </w:pPr>
      <w:bookmarkStart w:id="11" w:name="Anchor370"/>
      <w:bookmarkEnd w:id="11"/>
      <w:r w:rsidRPr="00A52B39">
        <w:rPr>
          <w:sz w:val="32"/>
          <w:szCs w:val="32"/>
          <w:rtl/>
        </w:rPr>
        <w:t>وبالجلسة الأخيرة قررت المحكمة النطق بالحكم في موضوع الاستئناف لجلسة اليوم</w:t>
      </w:r>
      <w:r w:rsidRPr="00A52B39">
        <w:rPr>
          <w:sz w:val="32"/>
          <w:szCs w:val="32"/>
        </w:rPr>
        <w:t>.</w:t>
      </w:r>
    </w:p>
    <w:p w:rsidR="00A52B39" w:rsidRPr="00A52B39" w:rsidRDefault="00A52B39" w:rsidP="00A52B39">
      <w:pPr>
        <w:rPr>
          <w:sz w:val="32"/>
          <w:szCs w:val="32"/>
        </w:rPr>
      </w:pPr>
      <w:bookmarkStart w:id="12" w:name="Anchor378"/>
      <w:bookmarkStart w:id="13" w:name="TM2014_1326_1"/>
      <w:bookmarkEnd w:id="12"/>
      <w:bookmarkEnd w:id="13"/>
      <w:r w:rsidRPr="00A52B39">
        <w:rPr>
          <w:b/>
          <w:bCs/>
          <w:sz w:val="32"/>
          <w:szCs w:val="32"/>
          <w:rtl/>
        </w:rPr>
        <w:t xml:space="preserve">وحيث أنه لما كانت هذه المحكمة قد ندبت لجنة الخبراء الأخيرة لبحث كافة أوجه دفاع وطلبات المستأنف بخصوص قيام البنك المستأنف ضده الأول بخصم مبالغ منه تزيد عن المطلوب منه في دين القرض المبرم بينهما وكذا تقاضيه فوائد تزيد عن المتفق عليها وتخالف تعليمات البنك المركزي وكذا خصمه منه قيمة التأمين على القرض دون أن يؤمن عليه، وكانت لجنة الخبراء المنتدبة قد قامت ببحث هذه الأمور جميعها وانتهت إلى النتيجة سالفة البيان، والتي تطمئن إليها المحكمة وتأخذ بها لابتنائها على أسس وأسانيد صحيحة ولا مخالفة فيها للقانون، ولما كانت لجنة الخبراء قد انتهت إلى أن خصم مبلغ 197 من حساب المستأنف جاء بناءاً على أمر موقع منه لمصلحة دائن له لا علاقة بينه وبين دين القرض محل النزاع ولا يحق للمستأنف معه الادعاء بأن هذا الخصم يزيد من دين القرض وفوائده، وأنه يتجاوز على نسبة الـ50٪ من دخله الشهري طبقاً لتعليمات البنك المركزي، إذ الثابت أن هذا المبلغ يخصم من حسابه لدى البنك المستأنف ضده وليس من قيمة دخله الشهري الذي يلزم ألا يزيد قسط القرض الذي يخصم منه عن </w:t>
      </w:r>
      <w:r w:rsidRPr="00A52B39">
        <w:rPr>
          <w:b/>
          <w:bCs/>
          <w:sz w:val="32"/>
          <w:szCs w:val="32"/>
        </w:rPr>
        <w:t>50</w:t>
      </w:r>
      <w:r w:rsidRPr="00A52B39">
        <w:rPr>
          <w:b/>
          <w:bCs/>
          <w:sz w:val="32"/>
          <w:szCs w:val="32"/>
          <w:rtl/>
        </w:rPr>
        <w:t xml:space="preserve">٪ منه، بما يضحي ما يثيره بهذا الخصوص ولا سند له مرفوض، </w:t>
      </w:r>
      <w:r w:rsidRPr="00A52B39">
        <w:rPr>
          <w:sz w:val="32"/>
          <w:szCs w:val="32"/>
          <w:rtl/>
        </w:rPr>
        <w:t xml:space="preserve">كما أن الثابت من تقرير الخبرة أن المبلغ الذي تم خصمه بخصوص التأمين على القرض تم بموجب وثيقة تأمين جماعية لمصلحة جميع المدينين للبنك بقروض ومنهم المستأنف بما لا يحق له المطالبة برد مبلغ التأمين، أما </w:t>
      </w:r>
      <w:bookmarkStart w:id="14" w:name="TM2014_1326_2"/>
      <w:bookmarkEnd w:id="14"/>
      <w:r w:rsidRPr="00A52B39">
        <w:rPr>
          <w:b/>
          <w:bCs/>
          <w:sz w:val="32"/>
          <w:szCs w:val="32"/>
          <w:rtl/>
        </w:rPr>
        <w:t xml:space="preserve">بخصوص قيمة قسط القرض محل النزاع ولما كان تقرير الخبراء قد انتهى إلى أن دخل المستأنف الشهري كمرتب ومقداره 727 دينار يضاف إليه مائة دينار بدل سكن ليكون الإجمالي 827 دينار ولا يجوز أن يزيد قسط القرض عن </w:t>
      </w:r>
      <w:r w:rsidRPr="00A52B39">
        <w:rPr>
          <w:b/>
          <w:bCs/>
          <w:sz w:val="32"/>
          <w:szCs w:val="32"/>
        </w:rPr>
        <w:t>50</w:t>
      </w:r>
      <w:r w:rsidRPr="00A52B39">
        <w:rPr>
          <w:b/>
          <w:bCs/>
          <w:sz w:val="32"/>
          <w:szCs w:val="32"/>
          <w:rtl/>
        </w:rPr>
        <w:t>٪ من هذا المبلغ ومقداره 413,500 دينار، وإذ ورد بتقرير الخبرة أن بعض الأقساط تجاوزت هذا المبلغ فإنه يتعين تدارك ذلك والقضاء بإلزام البنك المستأنف ضده الأول بعدم تجاوز القسط الشهري لهذا المبلغ الأخير، وإذ خالف الحكم المستأنف هذا النظر فإنه يتعين تعديله في هذا الخصوص فقط وتأييده فيما عدا ذلك، وهو ما يضحي معه استئناف العميل المستأنف في هذا الخصوص قائماً على سنده الصحيح وعلى النحو الوارد بالمنطوق، مع إلزام المستأنف بالمناسب من المصروفات عما قضى له به من طلباته</w:t>
      </w:r>
      <w:r w:rsidRPr="00A52B39">
        <w:rPr>
          <w:b/>
          <w:bCs/>
          <w:sz w:val="32"/>
          <w:szCs w:val="32"/>
        </w:rPr>
        <w:t>.</w:t>
      </w:r>
    </w:p>
    <w:p w:rsidR="00A52B39" w:rsidRPr="00A52B39" w:rsidRDefault="00A52B39" w:rsidP="00A52B39">
      <w:pPr>
        <w:rPr>
          <w:sz w:val="32"/>
          <w:szCs w:val="32"/>
        </w:rPr>
      </w:pPr>
      <w:bookmarkStart w:id="15" w:name="Anchor551"/>
      <w:bookmarkEnd w:id="15"/>
      <w:r w:rsidRPr="00A52B39">
        <w:rPr>
          <w:b/>
          <w:bCs/>
          <w:sz w:val="32"/>
          <w:szCs w:val="32"/>
          <w:rtl/>
        </w:rPr>
        <w:t>لذلك</w:t>
      </w:r>
    </w:p>
    <w:p w:rsidR="00A52B39" w:rsidRPr="00A52B39" w:rsidRDefault="00A52B39" w:rsidP="00A52B39">
      <w:pPr>
        <w:rPr>
          <w:sz w:val="32"/>
          <w:szCs w:val="32"/>
        </w:rPr>
      </w:pPr>
      <w:bookmarkStart w:id="16" w:name="Anchor552"/>
      <w:bookmarkEnd w:id="16"/>
      <w:r w:rsidRPr="00A52B39">
        <w:rPr>
          <w:b/>
          <w:bCs/>
          <w:sz w:val="32"/>
          <w:szCs w:val="32"/>
          <w:rtl/>
        </w:rPr>
        <w:t>حكمت المحكمة</w:t>
      </w:r>
      <w:r w:rsidRPr="00A52B39">
        <w:rPr>
          <w:b/>
          <w:bCs/>
          <w:sz w:val="32"/>
          <w:szCs w:val="32"/>
        </w:rPr>
        <w:t>:</w:t>
      </w:r>
      <w:r w:rsidRPr="00A52B39">
        <w:rPr>
          <w:sz w:val="32"/>
          <w:szCs w:val="32"/>
        </w:rPr>
        <w:t xml:space="preserve">- </w:t>
      </w:r>
      <w:r w:rsidRPr="00A52B39">
        <w:rPr>
          <w:sz w:val="32"/>
          <w:szCs w:val="32"/>
          <w:rtl/>
        </w:rPr>
        <w:t xml:space="preserve">في موضوع الاستئناف بإلغاء الحكم المستأنف فيما قضى به من رفض طلب المستأنف بتحديد قيمة القسط الشهري بـ50٪ من قيمة دخله الشهري، والقضاء مجدداً بإلزام البنك المستأنف ضده الأول بتحديد قيمة القسط الشهري بما لا يجاوز نسبة </w:t>
      </w:r>
      <w:r w:rsidRPr="00A52B39">
        <w:rPr>
          <w:sz w:val="32"/>
          <w:szCs w:val="32"/>
        </w:rPr>
        <w:t>50</w:t>
      </w:r>
      <w:r w:rsidRPr="00A52B39">
        <w:rPr>
          <w:rFonts w:ascii="Arial" w:hAnsi="Arial" w:cs="Arial"/>
          <w:sz w:val="32"/>
          <w:szCs w:val="32"/>
        </w:rPr>
        <w:t>٪</w:t>
      </w:r>
      <w:r w:rsidRPr="00A52B39">
        <w:rPr>
          <w:sz w:val="32"/>
          <w:szCs w:val="32"/>
        </w:rPr>
        <w:t xml:space="preserve"> </w:t>
      </w:r>
      <w:r w:rsidRPr="00A52B39">
        <w:rPr>
          <w:sz w:val="32"/>
          <w:szCs w:val="32"/>
          <w:rtl/>
        </w:rPr>
        <w:t>من دخل المستأنف الشهري وبتأييد الحكم المستأنف فيما عدا ذلك وألزمت البنك المستأنف ضده بالمناسب من المصروفات عن الدرجتين وعشرين ديناراً مقابل أتعاب المحاماة</w:t>
      </w:r>
      <w:r w:rsidRPr="00A52B39">
        <w:rPr>
          <w:sz w:val="32"/>
          <w:szCs w:val="32"/>
        </w:rPr>
        <w:t>.</w:t>
      </w:r>
    </w:p>
    <w:p w:rsidR="00A52B39" w:rsidRPr="00A52B39" w:rsidRDefault="00A52B39" w:rsidP="00A52B39">
      <w:pPr>
        <w:rPr>
          <w:sz w:val="32"/>
          <w:szCs w:val="32"/>
        </w:rPr>
      </w:pPr>
    </w:p>
    <w:p w:rsidR="00A52B39" w:rsidRPr="00A52B39" w:rsidRDefault="00A52B39" w:rsidP="00A52B39">
      <w:pPr>
        <w:rPr>
          <w:sz w:val="32"/>
          <w:szCs w:val="32"/>
        </w:rPr>
      </w:pPr>
      <w:bookmarkStart w:id="17" w:name="Anchor591"/>
      <w:bookmarkEnd w:id="17"/>
      <w:r w:rsidRPr="00A52B39">
        <w:rPr>
          <w:sz w:val="32"/>
          <w:szCs w:val="32"/>
        </w:rPr>
        <w:t>* * *</w:t>
      </w:r>
    </w:p>
    <w:p w:rsidR="008C2BA0" w:rsidRPr="00A52B39" w:rsidRDefault="008C2BA0">
      <w:pPr>
        <w:rPr>
          <w:sz w:val="32"/>
          <w:szCs w:val="32"/>
        </w:rPr>
      </w:pPr>
    </w:p>
    <w:sectPr w:rsidR="008C2BA0" w:rsidRPr="00A52B3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28"/>
    <w:rsid w:val="0003272B"/>
    <w:rsid w:val="00280E28"/>
    <w:rsid w:val="008C2BA0"/>
    <w:rsid w:val="00A52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B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5376">
      <w:bodyDiv w:val="1"/>
      <w:marLeft w:val="0"/>
      <w:marRight w:val="0"/>
      <w:marTop w:val="0"/>
      <w:marBottom w:val="0"/>
      <w:divBdr>
        <w:top w:val="none" w:sz="0" w:space="0" w:color="auto"/>
        <w:left w:val="none" w:sz="0" w:space="0" w:color="auto"/>
        <w:bottom w:val="none" w:sz="0" w:space="0" w:color="auto"/>
        <w:right w:val="none" w:sz="0" w:space="0" w:color="auto"/>
      </w:divBdr>
      <w:divsChild>
        <w:div w:id="1795057920">
          <w:marLeft w:val="0"/>
          <w:marRight w:val="0"/>
          <w:marTop w:val="0"/>
          <w:marBottom w:val="0"/>
          <w:divBdr>
            <w:top w:val="none" w:sz="0" w:space="0" w:color="auto"/>
            <w:left w:val="none" w:sz="0" w:space="0" w:color="auto"/>
            <w:bottom w:val="none" w:sz="0" w:space="0" w:color="auto"/>
            <w:right w:val="none" w:sz="0" w:space="0" w:color="auto"/>
          </w:divBdr>
        </w:div>
        <w:div w:id="1378431230">
          <w:marLeft w:val="0"/>
          <w:marRight w:val="0"/>
          <w:marTop w:val="0"/>
          <w:marBottom w:val="0"/>
          <w:divBdr>
            <w:top w:val="none" w:sz="0" w:space="0" w:color="auto"/>
            <w:left w:val="none" w:sz="0" w:space="0" w:color="auto"/>
            <w:bottom w:val="none" w:sz="0" w:space="0" w:color="auto"/>
            <w:right w:val="none" w:sz="0" w:space="0" w:color="auto"/>
          </w:divBdr>
        </w:div>
        <w:div w:id="388774197">
          <w:marLeft w:val="0"/>
          <w:marRight w:val="0"/>
          <w:marTop w:val="0"/>
          <w:marBottom w:val="0"/>
          <w:divBdr>
            <w:top w:val="none" w:sz="0" w:space="0" w:color="auto"/>
            <w:left w:val="none" w:sz="0" w:space="0" w:color="auto"/>
            <w:bottom w:val="none" w:sz="0" w:space="0" w:color="auto"/>
            <w:right w:val="none" w:sz="0" w:space="0" w:color="auto"/>
          </w:divBdr>
        </w:div>
        <w:div w:id="1033504304">
          <w:marLeft w:val="0"/>
          <w:marRight w:val="0"/>
          <w:marTop w:val="0"/>
          <w:marBottom w:val="0"/>
          <w:divBdr>
            <w:top w:val="none" w:sz="0" w:space="0" w:color="auto"/>
            <w:left w:val="none" w:sz="0" w:space="0" w:color="auto"/>
            <w:bottom w:val="none" w:sz="0" w:space="0" w:color="auto"/>
            <w:right w:val="none" w:sz="0" w:space="0" w:color="auto"/>
          </w:divBdr>
        </w:div>
        <w:div w:id="2073116667">
          <w:marLeft w:val="0"/>
          <w:marRight w:val="0"/>
          <w:marTop w:val="0"/>
          <w:marBottom w:val="0"/>
          <w:divBdr>
            <w:top w:val="none" w:sz="0" w:space="0" w:color="auto"/>
            <w:left w:val="none" w:sz="0" w:space="0" w:color="auto"/>
            <w:bottom w:val="none" w:sz="0" w:space="0" w:color="auto"/>
            <w:right w:val="none" w:sz="0" w:space="0" w:color="auto"/>
          </w:divBdr>
        </w:div>
        <w:div w:id="181669794">
          <w:marLeft w:val="0"/>
          <w:marRight w:val="0"/>
          <w:marTop w:val="0"/>
          <w:marBottom w:val="0"/>
          <w:divBdr>
            <w:top w:val="none" w:sz="0" w:space="0" w:color="auto"/>
            <w:left w:val="none" w:sz="0" w:space="0" w:color="auto"/>
            <w:bottom w:val="none" w:sz="0" w:space="0" w:color="auto"/>
            <w:right w:val="none" w:sz="0" w:space="0" w:color="auto"/>
          </w:divBdr>
        </w:div>
        <w:div w:id="1220284930">
          <w:marLeft w:val="0"/>
          <w:marRight w:val="0"/>
          <w:marTop w:val="0"/>
          <w:marBottom w:val="0"/>
          <w:divBdr>
            <w:top w:val="none" w:sz="0" w:space="0" w:color="auto"/>
            <w:left w:val="none" w:sz="0" w:space="0" w:color="auto"/>
            <w:bottom w:val="none" w:sz="0" w:space="0" w:color="auto"/>
            <w:right w:val="none" w:sz="0" w:space="0" w:color="auto"/>
          </w:divBdr>
        </w:div>
        <w:div w:id="1766533119">
          <w:marLeft w:val="0"/>
          <w:marRight w:val="0"/>
          <w:marTop w:val="0"/>
          <w:marBottom w:val="0"/>
          <w:divBdr>
            <w:top w:val="none" w:sz="0" w:space="0" w:color="auto"/>
            <w:left w:val="none" w:sz="0" w:space="0" w:color="auto"/>
            <w:bottom w:val="none" w:sz="0" w:space="0" w:color="auto"/>
            <w:right w:val="none" w:sz="0" w:space="0" w:color="auto"/>
          </w:divBdr>
        </w:div>
        <w:div w:id="1804614300">
          <w:marLeft w:val="0"/>
          <w:marRight w:val="0"/>
          <w:marTop w:val="0"/>
          <w:marBottom w:val="0"/>
          <w:divBdr>
            <w:top w:val="none" w:sz="0" w:space="0" w:color="auto"/>
            <w:left w:val="none" w:sz="0" w:space="0" w:color="auto"/>
            <w:bottom w:val="none" w:sz="0" w:space="0" w:color="auto"/>
            <w:right w:val="none" w:sz="0" w:space="0" w:color="auto"/>
          </w:divBdr>
        </w:div>
        <w:div w:id="317536429">
          <w:marLeft w:val="0"/>
          <w:marRight w:val="0"/>
          <w:marTop w:val="0"/>
          <w:marBottom w:val="0"/>
          <w:divBdr>
            <w:top w:val="none" w:sz="0" w:space="0" w:color="auto"/>
            <w:left w:val="none" w:sz="0" w:space="0" w:color="auto"/>
            <w:bottom w:val="none" w:sz="0" w:space="0" w:color="auto"/>
            <w:right w:val="none" w:sz="0" w:space="0" w:color="auto"/>
          </w:divBdr>
        </w:div>
        <w:div w:id="1858884244">
          <w:marLeft w:val="0"/>
          <w:marRight w:val="0"/>
          <w:marTop w:val="0"/>
          <w:marBottom w:val="0"/>
          <w:divBdr>
            <w:top w:val="none" w:sz="0" w:space="0" w:color="auto"/>
            <w:left w:val="none" w:sz="0" w:space="0" w:color="auto"/>
            <w:bottom w:val="none" w:sz="0" w:space="0" w:color="auto"/>
            <w:right w:val="none" w:sz="0" w:space="0" w:color="auto"/>
          </w:divBdr>
        </w:div>
        <w:div w:id="176240756">
          <w:marLeft w:val="0"/>
          <w:marRight w:val="0"/>
          <w:marTop w:val="0"/>
          <w:marBottom w:val="0"/>
          <w:divBdr>
            <w:top w:val="none" w:sz="0" w:space="0" w:color="auto"/>
            <w:left w:val="none" w:sz="0" w:space="0" w:color="auto"/>
            <w:bottom w:val="none" w:sz="0" w:space="0" w:color="auto"/>
            <w:right w:val="none" w:sz="0" w:space="0" w:color="auto"/>
          </w:divBdr>
        </w:div>
        <w:div w:id="1298605748">
          <w:marLeft w:val="0"/>
          <w:marRight w:val="0"/>
          <w:marTop w:val="0"/>
          <w:marBottom w:val="0"/>
          <w:divBdr>
            <w:top w:val="none" w:sz="0" w:space="0" w:color="auto"/>
            <w:left w:val="none" w:sz="0" w:space="0" w:color="auto"/>
            <w:bottom w:val="none" w:sz="0" w:space="0" w:color="auto"/>
            <w:right w:val="none" w:sz="0" w:space="0" w:color="auto"/>
          </w:divBdr>
        </w:div>
        <w:div w:id="1273324984">
          <w:marLeft w:val="0"/>
          <w:marRight w:val="0"/>
          <w:marTop w:val="0"/>
          <w:marBottom w:val="0"/>
          <w:divBdr>
            <w:top w:val="none" w:sz="0" w:space="0" w:color="auto"/>
            <w:left w:val="none" w:sz="0" w:space="0" w:color="auto"/>
            <w:bottom w:val="none" w:sz="0" w:space="0" w:color="auto"/>
            <w:right w:val="none" w:sz="0" w:space="0" w:color="auto"/>
          </w:divBdr>
        </w:div>
        <w:div w:id="1544950989">
          <w:marLeft w:val="0"/>
          <w:marRight w:val="0"/>
          <w:marTop w:val="0"/>
          <w:marBottom w:val="0"/>
          <w:divBdr>
            <w:top w:val="none" w:sz="0" w:space="0" w:color="auto"/>
            <w:left w:val="none" w:sz="0" w:space="0" w:color="auto"/>
            <w:bottom w:val="none" w:sz="0" w:space="0" w:color="auto"/>
            <w:right w:val="none" w:sz="0" w:space="0" w:color="auto"/>
          </w:divBdr>
        </w:div>
      </w:divsChild>
    </w:div>
    <w:div w:id="1579710853">
      <w:bodyDiv w:val="1"/>
      <w:marLeft w:val="0"/>
      <w:marRight w:val="0"/>
      <w:marTop w:val="0"/>
      <w:marBottom w:val="0"/>
      <w:divBdr>
        <w:top w:val="none" w:sz="0" w:space="0" w:color="auto"/>
        <w:left w:val="none" w:sz="0" w:space="0" w:color="auto"/>
        <w:bottom w:val="none" w:sz="0" w:space="0" w:color="auto"/>
        <w:right w:val="none" w:sz="0" w:space="0" w:color="auto"/>
      </w:divBdr>
      <w:divsChild>
        <w:div w:id="204341762">
          <w:marLeft w:val="0"/>
          <w:marRight w:val="0"/>
          <w:marTop w:val="0"/>
          <w:marBottom w:val="0"/>
          <w:divBdr>
            <w:top w:val="none" w:sz="0" w:space="0" w:color="auto"/>
            <w:left w:val="none" w:sz="0" w:space="0" w:color="auto"/>
            <w:bottom w:val="none" w:sz="0" w:space="0" w:color="auto"/>
            <w:right w:val="none" w:sz="0" w:space="0" w:color="auto"/>
          </w:divBdr>
        </w:div>
        <w:div w:id="2108766956">
          <w:marLeft w:val="0"/>
          <w:marRight w:val="0"/>
          <w:marTop w:val="0"/>
          <w:marBottom w:val="0"/>
          <w:divBdr>
            <w:top w:val="none" w:sz="0" w:space="0" w:color="auto"/>
            <w:left w:val="none" w:sz="0" w:space="0" w:color="auto"/>
            <w:bottom w:val="none" w:sz="0" w:space="0" w:color="auto"/>
            <w:right w:val="none" w:sz="0" w:space="0" w:color="auto"/>
          </w:divBdr>
        </w:div>
        <w:div w:id="211427796">
          <w:marLeft w:val="0"/>
          <w:marRight w:val="0"/>
          <w:marTop w:val="0"/>
          <w:marBottom w:val="0"/>
          <w:divBdr>
            <w:top w:val="none" w:sz="0" w:space="0" w:color="auto"/>
            <w:left w:val="none" w:sz="0" w:space="0" w:color="auto"/>
            <w:bottom w:val="none" w:sz="0" w:space="0" w:color="auto"/>
            <w:right w:val="none" w:sz="0" w:space="0" w:color="auto"/>
          </w:divBdr>
        </w:div>
        <w:div w:id="1720787400">
          <w:marLeft w:val="0"/>
          <w:marRight w:val="0"/>
          <w:marTop w:val="0"/>
          <w:marBottom w:val="0"/>
          <w:divBdr>
            <w:top w:val="none" w:sz="0" w:space="0" w:color="auto"/>
            <w:left w:val="none" w:sz="0" w:space="0" w:color="auto"/>
            <w:bottom w:val="none" w:sz="0" w:space="0" w:color="auto"/>
            <w:right w:val="none" w:sz="0" w:space="0" w:color="auto"/>
          </w:divBdr>
        </w:div>
        <w:div w:id="409234279">
          <w:marLeft w:val="0"/>
          <w:marRight w:val="0"/>
          <w:marTop w:val="0"/>
          <w:marBottom w:val="0"/>
          <w:divBdr>
            <w:top w:val="none" w:sz="0" w:space="0" w:color="auto"/>
            <w:left w:val="none" w:sz="0" w:space="0" w:color="auto"/>
            <w:bottom w:val="none" w:sz="0" w:space="0" w:color="auto"/>
            <w:right w:val="none" w:sz="0" w:space="0" w:color="auto"/>
          </w:divBdr>
        </w:div>
        <w:div w:id="1813985496">
          <w:marLeft w:val="0"/>
          <w:marRight w:val="0"/>
          <w:marTop w:val="0"/>
          <w:marBottom w:val="0"/>
          <w:divBdr>
            <w:top w:val="none" w:sz="0" w:space="0" w:color="auto"/>
            <w:left w:val="none" w:sz="0" w:space="0" w:color="auto"/>
            <w:bottom w:val="none" w:sz="0" w:space="0" w:color="auto"/>
            <w:right w:val="none" w:sz="0" w:space="0" w:color="auto"/>
          </w:divBdr>
        </w:div>
        <w:div w:id="1650161672">
          <w:marLeft w:val="0"/>
          <w:marRight w:val="0"/>
          <w:marTop w:val="0"/>
          <w:marBottom w:val="0"/>
          <w:divBdr>
            <w:top w:val="none" w:sz="0" w:space="0" w:color="auto"/>
            <w:left w:val="none" w:sz="0" w:space="0" w:color="auto"/>
            <w:bottom w:val="none" w:sz="0" w:space="0" w:color="auto"/>
            <w:right w:val="none" w:sz="0" w:space="0" w:color="auto"/>
          </w:divBdr>
        </w:div>
        <w:div w:id="2120298378">
          <w:marLeft w:val="0"/>
          <w:marRight w:val="0"/>
          <w:marTop w:val="0"/>
          <w:marBottom w:val="0"/>
          <w:divBdr>
            <w:top w:val="none" w:sz="0" w:space="0" w:color="auto"/>
            <w:left w:val="none" w:sz="0" w:space="0" w:color="auto"/>
            <w:bottom w:val="none" w:sz="0" w:space="0" w:color="auto"/>
            <w:right w:val="none" w:sz="0" w:space="0" w:color="auto"/>
          </w:divBdr>
        </w:div>
        <w:div w:id="1433819581">
          <w:marLeft w:val="0"/>
          <w:marRight w:val="0"/>
          <w:marTop w:val="0"/>
          <w:marBottom w:val="0"/>
          <w:divBdr>
            <w:top w:val="none" w:sz="0" w:space="0" w:color="auto"/>
            <w:left w:val="none" w:sz="0" w:space="0" w:color="auto"/>
            <w:bottom w:val="none" w:sz="0" w:space="0" w:color="auto"/>
            <w:right w:val="none" w:sz="0" w:space="0" w:color="auto"/>
          </w:divBdr>
        </w:div>
        <w:div w:id="1244223131">
          <w:marLeft w:val="0"/>
          <w:marRight w:val="0"/>
          <w:marTop w:val="0"/>
          <w:marBottom w:val="0"/>
          <w:divBdr>
            <w:top w:val="none" w:sz="0" w:space="0" w:color="auto"/>
            <w:left w:val="none" w:sz="0" w:space="0" w:color="auto"/>
            <w:bottom w:val="none" w:sz="0" w:space="0" w:color="auto"/>
            <w:right w:val="none" w:sz="0" w:space="0" w:color="auto"/>
          </w:divBdr>
        </w:div>
        <w:div w:id="177159637">
          <w:marLeft w:val="0"/>
          <w:marRight w:val="0"/>
          <w:marTop w:val="0"/>
          <w:marBottom w:val="0"/>
          <w:divBdr>
            <w:top w:val="none" w:sz="0" w:space="0" w:color="auto"/>
            <w:left w:val="none" w:sz="0" w:space="0" w:color="auto"/>
            <w:bottom w:val="none" w:sz="0" w:space="0" w:color="auto"/>
            <w:right w:val="none" w:sz="0" w:space="0" w:color="auto"/>
          </w:divBdr>
        </w:div>
        <w:div w:id="913509814">
          <w:marLeft w:val="0"/>
          <w:marRight w:val="0"/>
          <w:marTop w:val="0"/>
          <w:marBottom w:val="0"/>
          <w:divBdr>
            <w:top w:val="none" w:sz="0" w:space="0" w:color="auto"/>
            <w:left w:val="none" w:sz="0" w:space="0" w:color="auto"/>
            <w:bottom w:val="none" w:sz="0" w:space="0" w:color="auto"/>
            <w:right w:val="none" w:sz="0" w:space="0" w:color="auto"/>
          </w:divBdr>
        </w:div>
        <w:div w:id="39937702">
          <w:marLeft w:val="0"/>
          <w:marRight w:val="0"/>
          <w:marTop w:val="0"/>
          <w:marBottom w:val="0"/>
          <w:divBdr>
            <w:top w:val="none" w:sz="0" w:space="0" w:color="auto"/>
            <w:left w:val="none" w:sz="0" w:space="0" w:color="auto"/>
            <w:bottom w:val="none" w:sz="0" w:space="0" w:color="auto"/>
            <w:right w:val="none" w:sz="0" w:space="0" w:color="auto"/>
          </w:divBdr>
        </w:div>
        <w:div w:id="670640368">
          <w:marLeft w:val="0"/>
          <w:marRight w:val="0"/>
          <w:marTop w:val="0"/>
          <w:marBottom w:val="0"/>
          <w:divBdr>
            <w:top w:val="none" w:sz="0" w:space="0" w:color="auto"/>
            <w:left w:val="none" w:sz="0" w:space="0" w:color="auto"/>
            <w:bottom w:val="none" w:sz="0" w:space="0" w:color="auto"/>
            <w:right w:val="none" w:sz="0" w:space="0" w:color="auto"/>
          </w:divBdr>
        </w:div>
        <w:div w:id="13279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2020-04-26T12:18:00Z</dcterms:created>
  <dcterms:modified xsi:type="dcterms:W3CDTF">2020-04-26T12:19:00Z</dcterms:modified>
</cp:coreProperties>
</file>