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58" w:rsidRPr="00786658" w:rsidRDefault="00786658" w:rsidP="00786658">
      <w:pPr>
        <w:jc w:val="center"/>
        <w:rPr>
          <w:sz w:val="32"/>
          <w:szCs w:val="32"/>
        </w:rPr>
      </w:pPr>
      <w:bookmarkStart w:id="0" w:name="Anchor1"/>
      <w:bookmarkEnd w:id="0"/>
      <w:r w:rsidRPr="00786658">
        <w:rPr>
          <w:sz w:val="32"/>
          <w:szCs w:val="32"/>
          <w:rtl/>
        </w:rPr>
        <w:t>ال</w:t>
      </w:r>
      <w:bookmarkStart w:id="1" w:name="_GoBack"/>
      <w:bookmarkEnd w:id="1"/>
      <w:r w:rsidRPr="00786658">
        <w:rPr>
          <w:sz w:val="32"/>
          <w:szCs w:val="32"/>
          <w:rtl/>
        </w:rPr>
        <w:t xml:space="preserve">طعن رقم </w:t>
      </w:r>
      <w:r w:rsidRPr="00786658">
        <w:rPr>
          <w:sz w:val="32"/>
          <w:szCs w:val="32"/>
        </w:rPr>
        <w:t xml:space="preserve">1397 </w:t>
      </w:r>
      <w:r w:rsidRPr="00786658">
        <w:rPr>
          <w:sz w:val="32"/>
          <w:szCs w:val="32"/>
          <w:rtl/>
        </w:rPr>
        <w:t xml:space="preserve">و </w:t>
      </w:r>
      <w:r w:rsidRPr="00786658">
        <w:rPr>
          <w:sz w:val="32"/>
          <w:szCs w:val="32"/>
        </w:rPr>
        <w:t>1489</w:t>
      </w:r>
    </w:p>
    <w:p w:rsidR="00786658" w:rsidRPr="00786658" w:rsidRDefault="00786658" w:rsidP="00786658">
      <w:pPr>
        <w:rPr>
          <w:sz w:val="32"/>
          <w:szCs w:val="32"/>
        </w:rPr>
      </w:pPr>
      <w:bookmarkStart w:id="2" w:name="Anchor7"/>
      <w:bookmarkEnd w:id="2"/>
      <w:r w:rsidRPr="00786658">
        <w:rPr>
          <w:sz w:val="32"/>
          <w:szCs w:val="32"/>
          <w:rtl/>
        </w:rPr>
        <w:t>هيئة المحكمة</w:t>
      </w:r>
      <w:r w:rsidRPr="00786658">
        <w:rPr>
          <w:sz w:val="32"/>
          <w:szCs w:val="32"/>
        </w:rPr>
        <w:t xml:space="preserve">: </w:t>
      </w:r>
      <w:r w:rsidRPr="00786658">
        <w:rPr>
          <w:sz w:val="32"/>
          <w:szCs w:val="32"/>
          <w:rtl/>
        </w:rPr>
        <w:t>برئاسة السيد المستشـــار يونس محمد الياسين وكيل المحكمة وعضوية السادة المستشارين عادل علي البحوه ومحمد أحمد رشدي وإبراهيم الضبع وهشام فراويله</w:t>
      </w:r>
    </w:p>
    <w:bookmarkStart w:id="3" w:name="Anchor23"/>
    <w:bookmarkEnd w:id="3"/>
    <w:p w:rsidR="00786658" w:rsidRPr="00786658" w:rsidRDefault="00786658" w:rsidP="00786658">
      <w:pPr>
        <w:rPr>
          <w:sz w:val="32"/>
          <w:szCs w:val="32"/>
        </w:rPr>
      </w:pPr>
      <w:r w:rsidRPr="00786658">
        <w:rPr>
          <w:sz w:val="32"/>
          <w:szCs w:val="32"/>
        </w:rPr>
        <w:fldChar w:fldCharType="begin"/>
      </w:r>
      <w:r w:rsidRPr="00786658">
        <w:rPr>
          <w:sz w:val="32"/>
          <w:szCs w:val="32"/>
        </w:rPr>
        <w:instrText xml:space="preserve"> HYPERLINK "http://www.law.gov.kw/KWT_CC-Ar/00_2014/00_%D8%A7%D9%84%D8%AF%D8%A7%D8%A6%D8%B1%D8%A9%20%D8%A7%D9%84%D8%AA%D8%AC%D8%A7%D8%B1%D9%8A%D8%A9/KWT-CC-Ar_2014-07-07_01397_Taan.html" \l "TM2014_1397_1" </w:instrText>
      </w:r>
      <w:r w:rsidRPr="00786658">
        <w:rPr>
          <w:sz w:val="32"/>
          <w:szCs w:val="32"/>
        </w:rPr>
        <w:fldChar w:fldCharType="separate"/>
      </w:r>
      <w:r w:rsidRPr="00786658">
        <w:rPr>
          <w:rStyle w:val="Hyperlink"/>
          <w:sz w:val="32"/>
          <w:szCs w:val="32"/>
        </w:rPr>
        <w:t xml:space="preserve">1- </w:t>
      </w:r>
      <w:r w:rsidRPr="00786658">
        <w:rPr>
          <w:rStyle w:val="Hyperlink"/>
          <w:sz w:val="32"/>
          <w:szCs w:val="32"/>
          <w:rtl/>
        </w:rPr>
        <w:t>ان لمحكمة الموضوع سلطة تقدير الادلة والاخذ بما تطمئن اليه واطراح ما عداه متى أقامت قضاءها على اسباب سائغة</w:t>
      </w:r>
      <w:r w:rsidRPr="00786658">
        <w:rPr>
          <w:rStyle w:val="Hyperlink"/>
          <w:sz w:val="32"/>
          <w:szCs w:val="32"/>
        </w:rPr>
        <w:t>.</w:t>
      </w:r>
      <w:r w:rsidRPr="00786658">
        <w:rPr>
          <w:sz w:val="32"/>
          <w:szCs w:val="32"/>
        </w:rPr>
        <w:fldChar w:fldCharType="end"/>
      </w:r>
    </w:p>
    <w:bookmarkStart w:id="4" w:name="Anchor35"/>
    <w:bookmarkEnd w:id="4"/>
    <w:p w:rsidR="00786658" w:rsidRPr="00786658" w:rsidRDefault="00786658" w:rsidP="00786658">
      <w:pPr>
        <w:rPr>
          <w:sz w:val="32"/>
          <w:szCs w:val="32"/>
        </w:rPr>
      </w:pPr>
      <w:r w:rsidRPr="00786658">
        <w:rPr>
          <w:sz w:val="32"/>
          <w:szCs w:val="32"/>
        </w:rPr>
        <w:fldChar w:fldCharType="begin"/>
      </w:r>
      <w:r w:rsidRPr="00786658">
        <w:rPr>
          <w:sz w:val="32"/>
          <w:szCs w:val="32"/>
        </w:rPr>
        <w:instrText xml:space="preserve"> HYPERLINK "http://www.law.gov.kw/KWT_CC-Ar/00_2014/00_%D8%A7%D9%84%D8%AF%D8%A7%D8%A6%D8%B1%D8%A9%20%D8%A7%D9%84%D8%AA%D8%AC%D8%A7%D8%B1%D9%8A%D8%A9/KWT-CC-Ar_2014-07-07_01397_Taan.html" \l "TM2014_1397_2" </w:instrText>
      </w:r>
      <w:r w:rsidRPr="00786658">
        <w:rPr>
          <w:sz w:val="32"/>
          <w:szCs w:val="32"/>
        </w:rPr>
        <w:fldChar w:fldCharType="separate"/>
      </w:r>
      <w:r w:rsidRPr="00786658">
        <w:rPr>
          <w:rStyle w:val="Hyperlink"/>
          <w:sz w:val="32"/>
          <w:szCs w:val="32"/>
        </w:rPr>
        <w:t xml:space="preserve">2- </w:t>
      </w:r>
      <w:r w:rsidRPr="00786658">
        <w:rPr>
          <w:rStyle w:val="Hyperlink"/>
          <w:sz w:val="32"/>
          <w:szCs w:val="32"/>
          <w:rtl/>
        </w:rPr>
        <w:t>ان للمحكمة الاخذ بتقرير الخبير ولا تلتزم بالرد استقلالا على المطاعن الموجهت الى التقرير</w:t>
      </w:r>
      <w:r w:rsidRPr="00786658">
        <w:rPr>
          <w:rStyle w:val="Hyperlink"/>
          <w:sz w:val="32"/>
          <w:szCs w:val="32"/>
        </w:rPr>
        <w:t>.</w:t>
      </w:r>
      <w:r w:rsidRPr="00786658">
        <w:rPr>
          <w:sz w:val="32"/>
          <w:szCs w:val="32"/>
        </w:rPr>
        <w:fldChar w:fldCharType="end"/>
      </w:r>
    </w:p>
    <w:bookmarkStart w:id="5" w:name="Anchor45"/>
    <w:bookmarkEnd w:id="5"/>
    <w:p w:rsidR="00786658" w:rsidRPr="00786658" w:rsidRDefault="00786658" w:rsidP="00786658">
      <w:pPr>
        <w:rPr>
          <w:sz w:val="32"/>
          <w:szCs w:val="32"/>
        </w:rPr>
      </w:pPr>
      <w:r w:rsidRPr="00786658">
        <w:rPr>
          <w:sz w:val="32"/>
          <w:szCs w:val="32"/>
        </w:rPr>
        <w:fldChar w:fldCharType="begin"/>
      </w:r>
      <w:r w:rsidRPr="00786658">
        <w:rPr>
          <w:sz w:val="32"/>
          <w:szCs w:val="32"/>
        </w:rPr>
        <w:instrText xml:space="preserve"> HYPERLINK "http://www.law.gov.kw/KWT_CC-Ar/00_2014/00_%D8%A7%D9%84%D8%AF%D8%A7%D8%A6%D8%B1%D8%A9%20%D8%A7%D9%84%D8%AA%D8%AC%D8%A7%D8%B1%D9%8A%D8%A9/KWT-CC-Ar_2014-07-07_01397_Taan.html" \l "TM2014_1397_3" </w:instrText>
      </w:r>
      <w:r w:rsidRPr="00786658">
        <w:rPr>
          <w:sz w:val="32"/>
          <w:szCs w:val="32"/>
        </w:rPr>
        <w:fldChar w:fldCharType="separate"/>
      </w:r>
      <w:r w:rsidRPr="00786658">
        <w:rPr>
          <w:rStyle w:val="Hyperlink"/>
          <w:sz w:val="32"/>
          <w:szCs w:val="32"/>
        </w:rPr>
        <w:t xml:space="preserve">3- </w:t>
      </w:r>
      <w:r w:rsidRPr="00786658">
        <w:rPr>
          <w:rStyle w:val="Hyperlink"/>
          <w:sz w:val="32"/>
          <w:szCs w:val="32"/>
          <w:rtl/>
        </w:rPr>
        <w:t>ان الحكم المطعون فيه قضى بإلزام الشركة بالمبلغ كونه يمثل غرامات التأخير عن تسليم السيارات المؤجرة للطاعنة في الموعد المتفق عليه وفقا لما انتهى اليه تقرير الخبير</w:t>
      </w:r>
      <w:r w:rsidRPr="00786658">
        <w:rPr>
          <w:rStyle w:val="Hyperlink"/>
          <w:sz w:val="32"/>
          <w:szCs w:val="32"/>
        </w:rPr>
        <w:t>.</w:t>
      </w:r>
      <w:r w:rsidRPr="00786658">
        <w:rPr>
          <w:sz w:val="32"/>
          <w:szCs w:val="32"/>
        </w:rPr>
        <w:fldChar w:fldCharType="end"/>
      </w:r>
      <w:r w:rsidRPr="00786658">
        <w:rPr>
          <w:sz w:val="32"/>
          <w:szCs w:val="32"/>
        </w:rPr>
        <w:br/>
      </w:r>
      <w:r w:rsidRPr="00786658">
        <w:rPr>
          <w:sz w:val="32"/>
          <w:szCs w:val="32"/>
        </w:rPr>
        <w:br/>
      </w:r>
      <w:r w:rsidRPr="00786658">
        <w:rPr>
          <w:sz w:val="32"/>
          <w:szCs w:val="32"/>
          <w:u w:val="single"/>
          <w:rtl/>
        </w:rPr>
        <w:t>ملاحظة</w:t>
      </w:r>
      <w:r w:rsidRPr="00786658">
        <w:rPr>
          <w:sz w:val="32"/>
          <w:szCs w:val="32"/>
          <w:u w:val="single"/>
        </w:rPr>
        <w:t xml:space="preserve"> :</w:t>
      </w:r>
      <w:r w:rsidRPr="00786658">
        <w:rPr>
          <w:sz w:val="32"/>
          <w:szCs w:val="32"/>
        </w:rPr>
        <w:br/>
      </w:r>
      <w:r w:rsidRPr="00786658">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86658" w:rsidRPr="00786658" w:rsidRDefault="00786658" w:rsidP="00786658">
      <w:pPr>
        <w:rPr>
          <w:sz w:val="32"/>
          <w:szCs w:val="32"/>
        </w:rPr>
      </w:pPr>
      <w:bookmarkStart w:id="6" w:name="Anchor64"/>
      <w:bookmarkEnd w:id="6"/>
      <w:r w:rsidRPr="00786658">
        <w:rPr>
          <w:b/>
          <w:bCs/>
          <w:sz w:val="32"/>
          <w:szCs w:val="32"/>
          <w:rtl/>
        </w:rPr>
        <w:t>المحكمة</w:t>
      </w:r>
    </w:p>
    <w:p w:rsidR="00786658" w:rsidRPr="00786658" w:rsidRDefault="00786658" w:rsidP="00786658">
      <w:pPr>
        <w:rPr>
          <w:sz w:val="32"/>
          <w:szCs w:val="32"/>
        </w:rPr>
      </w:pPr>
      <w:bookmarkStart w:id="7" w:name="Anchor65"/>
      <w:bookmarkEnd w:id="7"/>
      <w:r w:rsidRPr="00786658">
        <w:rPr>
          <w:sz w:val="32"/>
          <w:szCs w:val="32"/>
          <w:rtl/>
        </w:rPr>
        <w:t>بعـد الاطلاع على الأوراق والمداولـة وضم الطعنين</w:t>
      </w:r>
      <w:r w:rsidRPr="00786658">
        <w:rPr>
          <w:sz w:val="32"/>
          <w:szCs w:val="32"/>
        </w:rPr>
        <w:t>.</w:t>
      </w:r>
    </w:p>
    <w:p w:rsidR="00786658" w:rsidRPr="00786658" w:rsidRDefault="00786658" w:rsidP="00786658">
      <w:pPr>
        <w:rPr>
          <w:sz w:val="32"/>
          <w:szCs w:val="32"/>
        </w:rPr>
      </w:pPr>
      <w:bookmarkStart w:id="8" w:name="Anchor71"/>
      <w:bookmarkStart w:id="9" w:name="TM2014_1397_1"/>
      <w:bookmarkEnd w:id="8"/>
      <w:bookmarkEnd w:id="9"/>
      <w:r w:rsidRPr="00786658">
        <w:rPr>
          <w:b/>
          <w:bCs/>
          <w:sz w:val="32"/>
          <w:szCs w:val="32"/>
          <w:rtl/>
        </w:rPr>
        <w:t>لما كان لمحكمة الموضوع السلطة في تقدير الأدلة والأخذ بما تطمئن إليه واطراح ما عداه متى أقامت قضاءها على أسباب سائغة لها معينها الثابت بالأوراق وتؤدي إلى النتيجة التي انتهت إليها،</w:t>
      </w:r>
      <w:r w:rsidRPr="00786658">
        <w:rPr>
          <w:sz w:val="32"/>
          <w:szCs w:val="32"/>
          <w:rtl/>
        </w:rPr>
        <w:t xml:space="preserve"> كما </w:t>
      </w:r>
      <w:bookmarkStart w:id="10" w:name="TM2014_1397_2"/>
      <w:bookmarkEnd w:id="10"/>
      <w:r w:rsidRPr="00786658">
        <w:rPr>
          <w:b/>
          <w:bCs/>
          <w:sz w:val="32"/>
          <w:szCs w:val="32"/>
          <w:rtl/>
        </w:rPr>
        <w:t>لها الأخذ بتقرير الخبير متى أطمانت إليه واقتنعت بصحة أسبابه، وهى لا تكون ملزمة من بعد بالرد استقلالاً على المطاعن التي وجهت إلى هذا التقرير،</w:t>
      </w:r>
    </w:p>
    <w:p w:rsidR="00786658" w:rsidRPr="00786658" w:rsidRDefault="00786658" w:rsidP="00786658">
      <w:pPr>
        <w:rPr>
          <w:sz w:val="32"/>
          <w:szCs w:val="32"/>
        </w:rPr>
      </w:pPr>
      <w:bookmarkStart w:id="11" w:name="Anchor104"/>
      <w:bookmarkStart w:id="12" w:name="TM2014_1397_3"/>
      <w:bookmarkEnd w:id="11"/>
      <w:bookmarkEnd w:id="12"/>
      <w:r w:rsidRPr="00786658">
        <w:rPr>
          <w:b/>
          <w:bCs/>
          <w:sz w:val="32"/>
          <w:szCs w:val="32"/>
          <w:rtl/>
        </w:rPr>
        <w:t xml:space="preserve">وكان الحكم المطعون فيه قد أقام قضاءه بإلزام الشركة الطاعنة في الطعن رقم 1397 لسنة 2013 بالمبلغ المقضي به باعتباره يمثل غرامات التأخير عن تسليم السيارات المؤجرة للطاعنة في الموعد المتفق عليه وذلك وفقاً لما انتهى إليه تقرير خبير الدعوى وطرح الحكم دفاع المطعون ضدها الطاعنة في الطعن رقم 1489 لسنة 2013 بشأن المطالبة بقيمة المخالفات المرورية المطالب بقيمتها لعدم تقديم الدليل على ثبوت سدادها وكان هذا الذي استخلصه الحكم سائغاً وله </w:t>
      </w:r>
      <w:r w:rsidRPr="00786658">
        <w:rPr>
          <w:b/>
          <w:bCs/>
          <w:sz w:val="32"/>
          <w:szCs w:val="32"/>
          <w:rtl/>
        </w:rPr>
        <w:lastRenderedPageBreak/>
        <w:t xml:space="preserve">أصله الثابت في الأوراق ومن شأنه أن يؤدي إلى النتيجة التي انتهى إليها، فإن ما تثيره الطاعنتين بأسباب طعنيهما لا يعدو أن يكون جدلاً فيما لمحكمة الموضوع من سلطة تقديرية مما تنحسر عنه رقابة هذه المحكمة </w:t>
      </w:r>
      <w:r w:rsidRPr="00786658">
        <w:rPr>
          <w:sz w:val="32"/>
          <w:szCs w:val="32"/>
          <w:rtl/>
        </w:rPr>
        <w:t>ويضحى الطعنان وقد أقيما على خلاف الأسباب المبينة بالمادة 152 من قانون المرافعات تقرر معه المحكمة عدم قبولهما عملاً بالمادة 154/5 من ذات القانون</w:t>
      </w:r>
      <w:r w:rsidRPr="00786658">
        <w:rPr>
          <w:sz w:val="32"/>
          <w:szCs w:val="32"/>
        </w:rPr>
        <w:t>.</w:t>
      </w:r>
    </w:p>
    <w:p w:rsidR="00786658" w:rsidRPr="00786658" w:rsidRDefault="00786658" w:rsidP="00786658">
      <w:pPr>
        <w:rPr>
          <w:sz w:val="32"/>
          <w:szCs w:val="32"/>
        </w:rPr>
      </w:pPr>
      <w:bookmarkStart w:id="13" w:name="Anchor179"/>
      <w:bookmarkEnd w:id="13"/>
      <w:r w:rsidRPr="00786658">
        <w:rPr>
          <w:sz w:val="32"/>
          <w:szCs w:val="32"/>
          <w:rtl/>
        </w:rPr>
        <w:t>لـــذلك</w:t>
      </w:r>
    </w:p>
    <w:p w:rsidR="00786658" w:rsidRPr="00786658" w:rsidRDefault="00786658" w:rsidP="00786658">
      <w:pPr>
        <w:rPr>
          <w:sz w:val="32"/>
          <w:szCs w:val="32"/>
        </w:rPr>
      </w:pPr>
      <w:bookmarkStart w:id="14" w:name="Anchor180"/>
      <w:bookmarkEnd w:id="14"/>
      <w:r w:rsidRPr="00786658">
        <w:rPr>
          <w:sz w:val="32"/>
          <w:szCs w:val="32"/>
          <w:rtl/>
        </w:rPr>
        <w:t xml:space="preserve">قررت المحكمة </w:t>
      </w:r>
      <w:r w:rsidRPr="00786658">
        <w:rPr>
          <w:sz w:val="32"/>
          <w:szCs w:val="32"/>
        </w:rPr>
        <w:t xml:space="preserve">– </w:t>
      </w:r>
      <w:r w:rsidRPr="00786658">
        <w:rPr>
          <w:sz w:val="32"/>
          <w:szCs w:val="32"/>
          <w:rtl/>
        </w:rPr>
        <w:t xml:space="preserve">في غرفة المشورة </w:t>
      </w:r>
      <w:r w:rsidRPr="00786658">
        <w:rPr>
          <w:sz w:val="32"/>
          <w:szCs w:val="32"/>
        </w:rPr>
        <w:t xml:space="preserve">– </w:t>
      </w:r>
      <w:r w:rsidRPr="00786658">
        <w:rPr>
          <w:sz w:val="32"/>
          <w:szCs w:val="32"/>
          <w:rtl/>
        </w:rPr>
        <w:t>عدم قبول الطعنين وألزمت كل طاعنة المصروفات والطاعنة في الطعن رقم 1397 لسنة 2013 تجاري/2 مبلغ عشرين ديناراً مقابل أتعاب المحاماة مع مصادرة الكفالة في كل طعن</w:t>
      </w:r>
      <w:r w:rsidRPr="00786658">
        <w:rPr>
          <w:sz w:val="32"/>
          <w:szCs w:val="32"/>
        </w:rPr>
        <w:t>.</w:t>
      </w:r>
    </w:p>
    <w:p w:rsidR="00786658" w:rsidRPr="00786658" w:rsidRDefault="00786658" w:rsidP="00786658">
      <w:pPr>
        <w:rPr>
          <w:sz w:val="32"/>
          <w:szCs w:val="32"/>
        </w:rPr>
      </w:pPr>
    </w:p>
    <w:p w:rsidR="00786658" w:rsidRPr="00786658" w:rsidRDefault="00786658" w:rsidP="00786658">
      <w:pPr>
        <w:rPr>
          <w:sz w:val="32"/>
          <w:szCs w:val="32"/>
        </w:rPr>
      </w:pPr>
      <w:bookmarkStart w:id="15" w:name="Anchor201"/>
      <w:bookmarkEnd w:id="15"/>
      <w:r w:rsidRPr="00786658">
        <w:rPr>
          <w:sz w:val="32"/>
          <w:szCs w:val="32"/>
        </w:rPr>
        <w:t>* * *</w:t>
      </w:r>
    </w:p>
    <w:p w:rsidR="008C2BA0" w:rsidRPr="00786658" w:rsidRDefault="008C2BA0">
      <w:pPr>
        <w:rPr>
          <w:sz w:val="32"/>
          <w:szCs w:val="32"/>
        </w:rPr>
      </w:pPr>
    </w:p>
    <w:sectPr w:rsidR="008C2BA0" w:rsidRPr="0078665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80"/>
    <w:rsid w:val="0003272B"/>
    <w:rsid w:val="00786658"/>
    <w:rsid w:val="008C2BA0"/>
    <w:rsid w:val="009E1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6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75338">
      <w:bodyDiv w:val="1"/>
      <w:marLeft w:val="0"/>
      <w:marRight w:val="0"/>
      <w:marTop w:val="0"/>
      <w:marBottom w:val="0"/>
      <w:divBdr>
        <w:top w:val="none" w:sz="0" w:space="0" w:color="auto"/>
        <w:left w:val="none" w:sz="0" w:space="0" w:color="auto"/>
        <w:bottom w:val="none" w:sz="0" w:space="0" w:color="auto"/>
        <w:right w:val="none" w:sz="0" w:space="0" w:color="auto"/>
      </w:divBdr>
      <w:divsChild>
        <w:div w:id="36587809">
          <w:marLeft w:val="0"/>
          <w:marRight w:val="0"/>
          <w:marTop w:val="0"/>
          <w:marBottom w:val="0"/>
          <w:divBdr>
            <w:top w:val="none" w:sz="0" w:space="0" w:color="auto"/>
            <w:left w:val="none" w:sz="0" w:space="0" w:color="auto"/>
            <w:bottom w:val="none" w:sz="0" w:space="0" w:color="auto"/>
            <w:right w:val="none" w:sz="0" w:space="0" w:color="auto"/>
          </w:divBdr>
        </w:div>
        <w:div w:id="186915644">
          <w:marLeft w:val="0"/>
          <w:marRight w:val="0"/>
          <w:marTop w:val="0"/>
          <w:marBottom w:val="0"/>
          <w:divBdr>
            <w:top w:val="none" w:sz="0" w:space="0" w:color="auto"/>
            <w:left w:val="none" w:sz="0" w:space="0" w:color="auto"/>
            <w:bottom w:val="none" w:sz="0" w:space="0" w:color="auto"/>
            <w:right w:val="none" w:sz="0" w:space="0" w:color="auto"/>
          </w:divBdr>
        </w:div>
        <w:div w:id="1450082200">
          <w:marLeft w:val="0"/>
          <w:marRight w:val="0"/>
          <w:marTop w:val="0"/>
          <w:marBottom w:val="0"/>
          <w:divBdr>
            <w:top w:val="none" w:sz="0" w:space="0" w:color="auto"/>
            <w:left w:val="none" w:sz="0" w:space="0" w:color="auto"/>
            <w:bottom w:val="none" w:sz="0" w:space="0" w:color="auto"/>
            <w:right w:val="none" w:sz="0" w:space="0" w:color="auto"/>
          </w:divBdr>
        </w:div>
        <w:div w:id="593637129">
          <w:marLeft w:val="0"/>
          <w:marRight w:val="0"/>
          <w:marTop w:val="0"/>
          <w:marBottom w:val="0"/>
          <w:divBdr>
            <w:top w:val="none" w:sz="0" w:space="0" w:color="auto"/>
            <w:left w:val="none" w:sz="0" w:space="0" w:color="auto"/>
            <w:bottom w:val="none" w:sz="0" w:space="0" w:color="auto"/>
            <w:right w:val="none" w:sz="0" w:space="0" w:color="auto"/>
          </w:divBdr>
        </w:div>
        <w:div w:id="1947690430">
          <w:marLeft w:val="0"/>
          <w:marRight w:val="0"/>
          <w:marTop w:val="0"/>
          <w:marBottom w:val="0"/>
          <w:divBdr>
            <w:top w:val="none" w:sz="0" w:space="0" w:color="auto"/>
            <w:left w:val="none" w:sz="0" w:space="0" w:color="auto"/>
            <w:bottom w:val="none" w:sz="0" w:space="0" w:color="auto"/>
            <w:right w:val="none" w:sz="0" w:space="0" w:color="auto"/>
          </w:divBdr>
        </w:div>
        <w:div w:id="1453670538">
          <w:marLeft w:val="0"/>
          <w:marRight w:val="0"/>
          <w:marTop w:val="0"/>
          <w:marBottom w:val="0"/>
          <w:divBdr>
            <w:top w:val="none" w:sz="0" w:space="0" w:color="auto"/>
            <w:left w:val="none" w:sz="0" w:space="0" w:color="auto"/>
            <w:bottom w:val="none" w:sz="0" w:space="0" w:color="auto"/>
            <w:right w:val="none" w:sz="0" w:space="0" w:color="auto"/>
          </w:divBdr>
        </w:div>
        <w:div w:id="16852998">
          <w:marLeft w:val="0"/>
          <w:marRight w:val="0"/>
          <w:marTop w:val="0"/>
          <w:marBottom w:val="0"/>
          <w:divBdr>
            <w:top w:val="none" w:sz="0" w:space="0" w:color="auto"/>
            <w:left w:val="none" w:sz="0" w:space="0" w:color="auto"/>
            <w:bottom w:val="none" w:sz="0" w:space="0" w:color="auto"/>
            <w:right w:val="none" w:sz="0" w:space="0" w:color="auto"/>
          </w:divBdr>
        </w:div>
        <w:div w:id="99960572">
          <w:marLeft w:val="0"/>
          <w:marRight w:val="0"/>
          <w:marTop w:val="0"/>
          <w:marBottom w:val="0"/>
          <w:divBdr>
            <w:top w:val="none" w:sz="0" w:space="0" w:color="auto"/>
            <w:left w:val="none" w:sz="0" w:space="0" w:color="auto"/>
            <w:bottom w:val="none" w:sz="0" w:space="0" w:color="auto"/>
            <w:right w:val="none" w:sz="0" w:space="0" w:color="auto"/>
          </w:divBdr>
        </w:div>
        <w:div w:id="1076199333">
          <w:marLeft w:val="0"/>
          <w:marRight w:val="0"/>
          <w:marTop w:val="0"/>
          <w:marBottom w:val="0"/>
          <w:divBdr>
            <w:top w:val="none" w:sz="0" w:space="0" w:color="auto"/>
            <w:left w:val="none" w:sz="0" w:space="0" w:color="auto"/>
            <w:bottom w:val="none" w:sz="0" w:space="0" w:color="auto"/>
            <w:right w:val="none" w:sz="0" w:space="0" w:color="auto"/>
          </w:divBdr>
        </w:div>
        <w:div w:id="2023973977">
          <w:marLeft w:val="0"/>
          <w:marRight w:val="0"/>
          <w:marTop w:val="0"/>
          <w:marBottom w:val="0"/>
          <w:divBdr>
            <w:top w:val="none" w:sz="0" w:space="0" w:color="auto"/>
            <w:left w:val="none" w:sz="0" w:space="0" w:color="auto"/>
            <w:bottom w:val="none" w:sz="0" w:space="0" w:color="auto"/>
            <w:right w:val="none" w:sz="0" w:space="0" w:color="auto"/>
          </w:divBdr>
        </w:div>
        <w:div w:id="1653604387">
          <w:marLeft w:val="0"/>
          <w:marRight w:val="0"/>
          <w:marTop w:val="0"/>
          <w:marBottom w:val="0"/>
          <w:divBdr>
            <w:top w:val="none" w:sz="0" w:space="0" w:color="auto"/>
            <w:left w:val="none" w:sz="0" w:space="0" w:color="auto"/>
            <w:bottom w:val="none" w:sz="0" w:space="0" w:color="auto"/>
            <w:right w:val="none" w:sz="0" w:space="0" w:color="auto"/>
          </w:divBdr>
        </w:div>
        <w:div w:id="1482504277">
          <w:marLeft w:val="0"/>
          <w:marRight w:val="0"/>
          <w:marTop w:val="0"/>
          <w:marBottom w:val="0"/>
          <w:divBdr>
            <w:top w:val="none" w:sz="0" w:space="0" w:color="auto"/>
            <w:left w:val="none" w:sz="0" w:space="0" w:color="auto"/>
            <w:bottom w:val="none" w:sz="0" w:space="0" w:color="auto"/>
            <w:right w:val="none" w:sz="0" w:space="0" w:color="auto"/>
          </w:divBdr>
        </w:div>
      </w:divsChild>
    </w:div>
    <w:div w:id="1156339050">
      <w:bodyDiv w:val="1"/>
      <w:marLeft w:val="0"/>
      <w:marRight w:val="0"/>
      <w:marTop w:val="0"/>
      <w:marBottom w:val="0"/>
      <w:divBdr>
        <w:top w:val="none" w:sz="0" w:space="0" w:color="auto"/>
        <w:left w:val="none" w:sz="0" w:space="0" w:color="auto"/>
        <w:bottom w:val="none" w:sz="0" w:space="0" w:color="auto"/>
        <w:right w:val="none" w:sz="0" w:space="0" w:color="auto"/>
      </w:divBdr>
      <w:divsChild>
        <w:div w:id="751121548">
          <w:marLeft w:val="0"/>
          <w:marRight w:val="0"/>
          <w:marTop w:val="0"/>
          <w:marBottom w:val="0"/>
          <w:divBdr>
            <w:top w:val="none" w:sz="0" w:space="0" w:color="auto"/>
            <w:left w:val="none" w:sz="0" w:space="0" w:color="auto"/>
            <w:bottom w:val="none" w:sz="0" w:space="0" w:color="auto"/>
            <w:right w:val="none" w:sz="0" w:space="0" w:color="auto"/>
          </w:divBdr>
        </w:div>
        <w:div w:id="15927584">
          <w:marLeft w:val="0"/>
          <w:marRight w:val="0"/>
          <w:marTop w:val="0"/>
          <w:marBottom w:val="0"/>
          <w:divBdr>
            <w:top w:val="none" w:sz="0" w:space="0" w:color="auto"/>
            <w:left w:val="none" w:sz="0" w:space="0" w:color="auto"/>
            <w:bottom w:val="none" w:sz="0" w:space="0" w:color="auto"/>
            <w:right w:val="none" w:sz="0" w:space="0" w:color="auto"/>
          </w:divBdr>
        </w:div>
        <w:div w:id="136533669">
          <w:marLeft w:val="0"/>
          <w:marRight w:val="0"/>
          <w:marTop w:val="0"/>
          <w:marBottom w:val="0"/>
          <w:divBdr>
            <w:top w:val="none" w:sz="0" w:space="0" w:color="auto"/>
            <w:left w:val="none" w:sz="0" w:space="0" w:color="auto"/>
            <w:bottom w:val="none" w:sz="0" w:space="0" w:color="auto"/>
            <w:right w:val="none" w:sz="0" w:space="0" w:color="auto"/>
          </w:divBdr>
        </w:div>
        <w:div w:id="607465931">
          <w:marLeft w:val="0"/>
          <w:marRight w:val="0"/>
          <w:marTop w:val="0"/>
          <w:marBottom w:val="0"/>
          <w:divBdr>
            <w:top w:val="none" w:sz="0" w:space="0" w:color="auto"/>
            <w:left w:val="none" w:sz="0" w:space="0" w:color="auto"/>
            <w:bottom w:val="none" w:sz="0" w:space="0" w:color="auto"/>
            <w:right w:val="none" w:sz="0" w:space="0" w:color="auto"/>
          </w:divBdr>
        </w:div>
        <w:div w:id="1278416635">
          <w:marLeft w:val="0"/>
          <w:marRight w:val="0"/>
          <w:marTop w:val="0"/>
          <w:marBottom w:val="0"/>
          <w:divBdr>
            <w:top w:val="none" w:sz="0" w:space="0" w:color="auto"/>
            <w:left w:val="none" w:sz="0" w:space="0" w:color="auto"/>
            <w:bottom w:val="none" w:sz="0" w:space="0" w:color="auto"/>
            <w:right w:val="none" w:sz="0" w:space="0" w:color="auto"/>
          </w:divBdr>
        </w:div>
        <w:div w:id="910623787">
          <w:marLeft w:val="0"/>
          <w:marRight w:val="0"/>
          <w:marTop w:val="0"/>
          <w:marBottom w:val="0"/>
          <w:divBdr>
            <w:top w:val="none" w:sz="0" w:space="0" w:color="auto"/>
            <w:left w:val="none" w:sz="0" w:space="0" w:color="auto"/>
            <w:bottom w:val="none" w:sz="0" w:space="0" w:color="auto"/>
            <w:right w:val="none" w:sz="0" w:space="0" w:color="auto"/>
          </w:divBdr>
        </w:div>
        <w:div w:id="1906255069">
          <w:marLeft w:val="0"/>
          <w:marRight w:val="0"/>
          <w:marTop w:val="0"/>
          <w:marBottom w:val="0"/>
          <w:divBdr>
            <w:top w:val="none" w:sz="0" w:space="0" w:color="auto"/>
            <w:left w:val="none" w:sz="0" w:space="0" w:color="auto"/>
            <w:bottom w:val="none" w:sz="0" w:space="0" w:color="auto"/>
            <w:right w:val="none" w:sz="0" w:space="0" w:color="auto"/>
          </w:divBdr>
        </w:div>
        <w:div w:id="992371961">
          <w:marLeft w:val="0"/>
          <w:marRight w:val="0"/>
          <w:marTop w:val="0"/>
          <w:marBottom w:val="0"/>
          <w:divBdr>
            <w:top w:val="none" w:sz="0" w:space="0" w:color="auto"/>
            <w:left w:val="none" w:sz="0" w:space="0" w:color="auto"/>
            <w:bottom w:val="none" w:sz="0" w:space="0" w:color="auto"/>
            <w:right w:val="none" w:sz="0" w:space="0" w:color="auto"/>
          </w:divBdr>
        </w:div>
        <w:div w:id="1063606033">
          <w:marLeft w:val="0"/>
          <w:marRight w:val="0"/>
          <w:marTop w:val="0"/>
          <w:marBottom w:val="0"/>
          <w:divBdr>
            <w:top w:val="none" w:sz="0" w:space="0" w:color="auto"/>
            <w:left w:val="none" w:sz="0" w:space="0" w:color="auto"/>
            <w:bottom w:val="none" w:sz="0" w:space="0" w:color="auto"/>
            <w:right w:val="none" w:sz="0" w:space="0" w:color="auto"/>
          </w:divBdr>
        </w:div>
        <w:div w:id="1093471774">
          <w:marLeft w:val="0"/>
          <w:marRight w:val="0"/>
          <w:marTop w:val="0"/>
          <w:marBottom w:val="0"/>
          <w:divBdr>
            <w:top w:val="none" w:sz="0" w:space="0" w:color="auto"/>
            <w:left w:val="none" w:sz="0" w:space="0" w:color="auto"/>
            <w:bottom w:val="none" w:sz="0" w:space="0" w:color="auto"/>
            <w:right w:val="none" w:sz="0" w:space="0" w:color="auto"/>
          </w:divBdr>
        </w:div>
        <w:div w:id="378747097">
          <w:marLeft w:val="0"/>
          <w:marRight w:val="0"/>
          <w:marTop w:val="0"/>
          <w:marBottom w:val="0"/>
          <w:divBdr>
            <w:top w:val="none" w:sz="0" w:space="0" w:color="auto"/>
            <w:left w:val="none" w:sz="0" w:space="0" w:color="auto"/>
            <w:bottom w:val="none" w:sz="0" w:space="0" w:color="auto"/>
            <w:right w:val="none" w:sz="0" w:space="0" w:color="auto"/>
          </w:divBdr>
        </w:div>
        <w:div w:id="190247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2020-04-26T11:44:00Z</dcterms:created>
  <dcterms:modified xsi:type="dcterms:W3CDTF">2020-04-26T11:44:00Z</dcterms:modified>
</cp:coreProperties>
</file>