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3D" w:rsidRPr="0048553D" w:rsidRDefault="0048553D" w:rsidP="0048553D">
      <w:pPr>
        <w:jc w:val="center"/>
        <w:rPr>
          <w:sz w:val="32"/>
          <w:szCs w:val="32"/>
        </w:rPr>
      </w:pPr>
      <w:bookmarkStart w:id="0" w:name="Anchor1"/>
      <w:bookmarkEnd w:id="0"/>
      <w:r w:rsidRPr="0048553D">
        <w:rPr>
          <w:sz w:val="32"/>
          <w:szCs w:val="32"/>
          <w:rtl/>
        </w:rPr>
        <w:t>الطع</w:t>
      </w:r>
      <w:bookmarkStart w:id="1" w:name="_GoBack"/>
      <w:bookmarkEnd w:id="1"/>
      <w:r w:rsidRPr="0048553D">
        <w:rPr>
          <w:sz w:val="32"/>
          <w:szCs w:val="32"/>
          <w:rtl/>
        </w:rPr>
        <w:t xml:space="preserve">ن رقم </w:t>
      </w:r>
      <w:r w:rsidRPr="0048553D">
        <w:rPr>
          <w:sz w:val="32"/>
          <w:szCs w:val="32"/>
        </w:rPr>
        <w:t>1442/2013</w:t>
      </w:r>
    </w:p>
    <w:p w:rsidR="0048553D" w:rsidRPr="0048553D" w:rsidRDefault="0048553D" w:rsidP="0048553D">
      <w:pPr>
        <w:rPr>
          <w:sz w:val="32"/>
          <w:szCs w:val="32"/>
        </w:rPr>
      </w:pPr>
      <w:bookmarkStart w:id="2" w:name="Anchor7"/>
      <w:bookmarkEnd w:id="2"/>
      <w:r w:rsidRPr="0048553D">
        <w:rPr>
          <w:sz w:val="32"/>
          <w:szCs w:val="32"/>
          <w:rtl/>
        </w:rPr>
        <w:t>هيئة المحكمة</w:t>
      </w:r>
      <w:r w:rsidRPr="0048553D">
        <w:rPr>
          <w:sz w:val="32"/>
          <w:szCs w:val="32"/>
        </w:rPr>
        <w:t xml:space="preserve">: </w:t>
      </w:r>
      <w:r w:rsidRPr="0048553D">
        <w:rPr>
          <w:sz w:val="32"/>
          <w:szCs w:val="32"/>
          <w:rtl/>
        </w:rPr>
        <w:t xml:space="preserve">برئاسة السيد المستشار أنور على بورسلي رئيس الجلسة وعضوية السادة المستشارين زياد محمد غازي وأحمد علي راجح ومجدى محمد جاد وفيصل عبدالحميد حرحش </w:t>
      </w:r>
    </w:p>
    <w:bookmarkStart w:id="3" w:name="Anchor25"/>
    <w:bookmarkEnd w:id="3"/>
    <w:p w:rsidR="0048553D" w:rsidRPr="0048553D" w:rsidRDefault="0048553D" w:rsidP="0048553D">
      <w:pPr>
        <w:rPr>
          <w:sz w:val="32"/>
          <w:szCs w:val="32"/>
        </w:rPr>
      </w:pPr>
      <w:r w:rsidRPr="0048553D">
        <w:rPr>
          <w:sz w:val="32"/>
          <w:szCs w:val="32"/>
        </w:rPr>
        <w:fldChar w:fldCharType="begin"/>
      </w:r>
      <w:r w:rsidRPr="0048553D">
        <w:rPr>
          <w:sz w:val="32"/>
          <w:szCs w:val="32"/>
        </w:rPr>
        <w:instrText xml:space="preserve"> HYPERLINK "http://www.law.gov.kw/KWT_CC-Ar/00_2014/00_%D8%A7%D9%84%D8%AF%D8%A7%D8%A6%D8%B1%D8%A9%20%D8%A7%D9%84%D8%AA%D8%AC%D8%A7%D8%B1%D9%8A%D8%A9/KWT-CC-Ar_2014-06-25_01442_Taan.html" \l "TM2014_1442_1" </w:instrText>
      </w:r>
      <w:r w:rsidRPr="0048553D">
        <w:rPr>
          <w:sz w:val="32"/>
          <w:szCs w:val="32"/>
        </w:rPr>
        <w:fldChar w:fldCharType="separate"/>
      </w:r>
      <w:r w:rsidRPr="0048553D">
        <w:rPr>
          <w:rStyle w:val="Hyperlink"/>
          <w:sz w:val="32"/>
          <w:szCs w:val="32"/>
        </w:rPr>
        <w:t xml:space="preserve">1- </w:t>
      </w:r>
      <w:r w:rsidRPr="0048553D">
        <w:rPr>
          <w:rStyle w:val="Hyperlink"/>
          <w:sz w:val="32"/>
          <w:szCs w:val="32"/>
          <w:rtl/>
        </w:rPr>
        <w:t>إن مهمة محكمة التمييز محددة بفحص ما كان معروضاً على محكمة الموضوع فلا يجوز التمسك امامها بدفاع لم يسبق ابداؤه امام محكمة الموضوع</w:t>
      </w:r>
      <w:r w:rsidRPr="0048553D">
        <w:rPr>
          <w:rStyle w:val="Hyperlink"/>
          <w:sz w:val="32"/>
          <w:szCs w:val="32"/>
        </w:rPr>
        <w:t>.</w:t>
      </w:r>
      <w:r w:rsidRPr="0048553D">
        <w:rPr>
          <w:sz w:val="32"/>
          <w:szCs w:val="32"/>
        </w:rPr>
        <w:fldChar w:fldCharType="end"/>
      </w:r>
    </w:p>
    <w:bookmarkStart w:id="4" w:name="Anchor39"/>
    <w:bookmarkEnd w:id="4"/>
    <w:p w:rsidR="0048553D" w:rsidRPr="0048553D" w:rsidRDefault="0048553D" w:rsidP="0048553D">
      <w:pPr>
        <w:rPr>
          <w:sz w:val="32"/>
          <w:szCs w:val="32"/>
        </w:rPr>
      </w:pPr>
      <w:r w:rsidRPr="0048553D">
        <w:rPr>
          <w:sz w:val="32"/>
          <w:szCs w:val="32"/>
        </w:rPr>
        <w:fldChar w:fldCharType="begin"/>
      </w:r>
      <w:r w:rsidRPr="0048553D">
        <w:rPr>
          <w:sz w:val="32"/>
          <w:szCs w:val="32"/>
        </w:rPr>
        <w:instrText xml:space="preserve"> HYPERLINK "http://www.law.gov.kw/KWT_CC-Ar/00_2014/00_%D8%A7%D9%84%D8%AF%D8%A7%D8%A6%D8%B1%D8%A9%20%D8%A7%D9%84%D8%AA%D8%AC%D8%A7%D8%B1%D9%8A%D8%A9/KWT-CC-Ar_2014-06-25_01442_Taan.html" \l "TM2014_1442_2" </w:instrText>
      </w:r>
      <w:r w:rsidRPr="0048553D">
        <w:rPr>
          <w:sz w:val="32"/>
          <w:szCs w:val="32"/>
        </w:rPr>
        <w:fldChar w:fldCharType="separate"/>
      </w:r>
      <w:r w:rsidRPr="0048553D">
        <w:rPr>
          <w:rStyle w:val="Hyperlink"/>
          <w:sz w:val="32"/>
          <w:szCs w:val="32"/>
        </w:rPr>
        <w:t xml:space="preserve">2- </w:t>
      </w:r>
      <w:r w:rsidRPr="0048553D">
        <w:rPr>
          <w:rStyle w:val="Hyperlink"/>
          <w:sz w:val="32"/>
          <w:szCs w:val="32"/>
          <w:rtl/>
        </w:rPr>
        <w:t>ان الشركة الطاعنة لم يسبق لها التمسك بحجية الحكم الصادر سابقاً وهو دفاع قانوني يتعلق بواقع لم يسبق التمسك به امام محكمة الموضوع فيكون من غير الجائز التحدي به لأول مرة امام محكمة التمييز</w:t>
      </w:r>
      <w:r w:rsidRPr="0048553D">
        <w:rPr>
          <w:rStyle w:val="Hyperlink"/>
          <w:sz w:val="32"/>
          <w:szCs w:val="32"/>
        </w:rPr>
        <w:t>.</w:t>
      </w:r>
      <w:r w:rsidRPr="0048553D">
        <w:rPr>
          <w:sz w:val="32"/>
          <w:szCs w:val="32"/>
        </w:rPr>
        <w:fldChar w:fldCharType="end"/>
      </w:r>
    </w:p>
    <w:bookmarkStart w:id="5" w:name="Anchor59"/>
    <w:bookmarkEnd w:id="5"/>
    <w:p w:rsidR="0048553D" w:rsidRPr="0048553D" w:rsidRDefault="0048553D" w:rsidP="0048553D">
      <w:pPr>
        <w:rPr>
          <w:sz w:val="32"/>
          <w:szCs w:val="32"/>
        </w:rPr>
      </w:pPr>
      <w:r w:rsidRPr="0048553D">
        <w:rPr>
          <w:sz w:val="32"/>
          <w:szCs w:val="32"/>
        </w:rPr>
        <w:fldChar w:fldCharType="begin"/>
      </w:r>
      <w:r w:rsidRPr="0048553D">
        <w:rPr>
          <w:sz w:val="32"/>
          <w:szCs w:val="32"/>
        </w:rPr>
        <w:instrText xml:space="preserve"> HYPERLINK "http://www.law.gov.kw/KWT_CC-Ar/00_2014/00_%D8%A7%D9%84%D8%AF%D8%A7%D8%A6%D8%B1%D8%A9%20%D8%A7%D9%84%D8%AA%D8%AC%D8%A7%D8%B1%D9%8A%D8%A9/KWT-CC-Ar_2014-06-25_01442_Taan.html" \l "TM2014_1442_3" </w:instrText>
      </w:r>
      <w:r w:rsidRPr="0048553D">
        <w:rPr>
          <w:sz w:val="32"/>
          <w:szCs w:val="32"/>
        </w:rPr>
        <w:fldChar w:fldCharType="separate"/>
      </w:r>
      <w:r w:rsidRPr="0048553D">
        <w:rPr>
          <w:rStyle w:val="Hyperlink"/>
          <w:sz w:val="32"/>
          <w:szCs w:val="32"/>
        </w:rPr>
        <w:t xml:space="preserve">3- </w:t>
      </w:r>
      <w:r w:rsidRPr="0048553D">
        <w:rPr>
          <w:rStyle w:val="Hyperlink"/>
          <w:sz w:val="32"/>
          <w:szCs w:val="32"/>
          <w:rtl/>
        </w:rPr>
        <w:t>إن العقد شريعة المتعاقدين فلا يجوز لأحدهما ان يستقل بنقضه او تعديل أحكامه الا في حدود ما يسمح به الاتفاق او يقضي به القانون ويجب تنفيذ العقد وفقاً لما يتضمنه ولما يقتضيه حسن النية وشرف التعامل</w:t>
      </w:r>
      <w:r w:rsidRPr="0048553D">
        <w:rPr>
          <w:rStyle w:val="Hyperlink"/>
          <w:sz w:val="32"/>
          <w:szCs w:val="32"/>
        </w:rPr>
        <w:t>.</w:t>
      </w:r>
      <w:r w:rsidRPr="0048553D">
        <w:rPr>
          <w:sz w:val="32"/>
          <w:szCs w:val="32"/>
        </w:rPr>
        <w:fldChar w:fldCharType="end"/>
      </w:r>
    </w:p>
    <w:bookmarkStart w:id="6" w:name="Anchor82"/>
    <w:bookmarkEnd w:id="6"/>
    <w:p w:rsidR="0048553D" w:rsidRPr="0048553D" w:rsidRDefault="0048553D" w:rsidP="0048553D">
      <w:pPr>
        <w:rPr>
          <w:sz w:val="32"/>
          <w:szCs w:val="32"/>
        </w:rPr>
      </w:pPr>
      <w:r w:rsidRPr="0048553D">
        <w:rPr>
          <w:sz w:val="32"/>
          <w:szCs w:val="32"/>
        </w:rPr>
        <w:fldChar w:fldCharType="begin"/>
      </w:r>
      <w:r w:rsidRPr="0048553D">
        <w:rPr>
          <w:sz w:val="32"/>
          <w:szCs w:val="32"/>
        </w:rPr>
        <w:instrText xml:space="preserve"> HYPERLINK "http://www.law.gov.kw/KWT_CC-Ar/00_2014/00_%D8%A7%D9%84%D8%AF%D8%A7%D8%A6%D8%B1%D8%A9%20%D8%A7%D9%84%D8%AA%D8%AC%D8%A7%D8%B1%D9%8A%D8%A9/KWT-CC-Ar_2014-06-25_01442_Taan.html" \l "TM2014_1442_4" </w:instrText>
      </w:r>
      <w:r w:rsidRPr="0048553D">
        <w:rPr>
          <w:sz w:val="32"/>
          <w:szCs w:val="32"/>
        </w:rPr>
        <w:fldChar w:fldCharType="separate"/>
      </w:r>
      <w:r w:rsidRPr="0048553D">
        <w:rPr>
          <w:rStyle w:val="Hyperlink"/>
          <w:sz w:val="32"/>
          <w:szCs w:val="32"/>
        </w:rPr>
        <w:t xml:space="preserve">4- </w:t>
      </w:r>
      <w:r w:rsidRPr="0048553D">
        <w:rPr>
          <w:rStyle w:val="Hyperlink"/>
          <w:sz w:val="32"/>
          <w:szCs w:val="32"/>
          <w:rtl/>
        </w:rPr>
        <w:t>إن المستأجر اذا لم يباشر الانتفاع بالمأجور وكان ذلك راجعاً الى خطئه او الى أمر يتعلق بشخصه فانه يبقى ملزماً بالايجار بالوفاء بما يفرضه عليه العقد من التزامات ما دام المؤجر قد وضع المأجور تحت تصرفه في حالة صالحة للانتفاع</w:t>
      </w:r>
      <w:r w:rsidRPr="0048553D">
        <w:rPr>
          <w:rStyle w:val="Hyperlink"/>
          <w:sz w:val="32"/>
          <w:szCs w:val="32"/>
        </w:rPr>
        <w:t>.</w:t>
      </w:r>
      <w:r w:rsidRPr="0048553D">
        <w:rPr>
          <w:sz w:val="32"/>
          <w:szCs w:val="32"/>
        </w:rPr>
        <w:fldChar w:fldCharType="end"/>
      </w:r>
    </w:p>
    <w:bookmarkStart w:id="7" w:name="Anchor104"/>
    <w:bookmarkEnd w:id="7"/>
    <w:p w:rsidR="0048553D" w:rsidRPr="0048553D" w:rsidRDefault="0048553D" w:rsidP="0048553D">
      <w:pPr>
        <w:rPr>
          <w:sz w:val="32"/>
          <w:szCs w:val="32"/>
        </w:rPr>
      </w:pPr>
      <w:r w:rsidRPr="0048553D">
        <w:rPr>
          <w:sz w:val="32"/>
          <w:szCs w:val="32"/>
        </w:rPr>
        <w:fldChar w:fldCharType="begin"/>
      </w:r>
      <w:r w:rsidRPr="0048553D">
        <w:rPr>
          <w:sz w:val="32"/>
          <w:szCs w:val="32"/>
        </w:rPr>
        <w:instrText xml:space="preserve"> HYPERLINK "http://www.law.gov.kw/KWT_CC-Ar/00_2014/00_%D8%A7%D9%84%D8%AF%D8%A7%D8%A6%D8%B1%D8%A9%20%D8%A7%D9%84%D8%AA%D8%AC%D8%A7%D8%B1%D9%8A%D8%A9/KWT-CC-Ar_2014-06-25_01442_Taan.html" \l "TM2014_1442_5" </w:instrText>
      </w:r>
      <w:r w:rsidRPr="0048553D">
        <w:rPr>
          <w:sz w:val="32"/>
          <w:szCs w:val="32"/>
        </w:rPr>
        <w:fldChar w:fldCharType="separate"/>
      </w:r>
      <w:r w:rsidRPr="0048553D">
        <w:rPr>
          <w:rStyle w:val="Hyperlink"/>
          <w:sz w:val="32"/>
          <w:szCs w:val="32"/>
        </w:rPr>
        <w:t xml:space="preserve">5- </w:t>
      </w:r>
      <w:r w:rsidRPr="0048553D">
        <w:rPr>
          <w:rStyle w:val="Hyperlink"/>
          <w:sz w:val="32"/>
          <w:szCs w:val="32"/>
          <w:rtl/>
        </w:rPr>
        <w:t>ان المستأجر اذا انتفع بالعين ولو كان انتفاعاً ناقصاً الا انه راجع الى خطئه او الى أمر يتعلق بشخصه ملزم بالايجار والوفاء به ما دام المؤجر قد وضع المأجور تحت تصرفه بحالة صالحة للانتفاع المتفق عليه</w:t>
      </w:r>
      <w:r w:rsidRPr="0048553D">
        <w:rPr>
          <w:rStyle w:val="Hyperlink"/>
          <w:sz w:val="32"/>
          <w:szCs w:val="32"/>
        </w:rPr>
        <w:t>.</w:t>
      </w:r>
      <w:r w:rsidRPr="0048553D">
        <w:rPr>
          <w:sz w:val="32"/>
          <w:szCs w:val="32"/>
        </w:rPr>
        <w:fldChar w:fldCharType="end"/>
      </w:r>
      <w:r w:rsidRPr="0048553D">
        <w:rPr>
          <w:sz w:val="32"/>
          <w:szCs w:val="32"/>
        </w:rPr>
        <w:br/>
      </w:r>
      <w:r w:rsidRPr="0048553D">
        <w:rPr>
          <w:sz w:val="32"/>
          <w:szCs w:val="32"/>
        </w:rPr>
        <w:br/>
      </w:r>
      <w:r w:rsidRPr="0048553D">
        <w:rPr>
          <w:sz w:val="32"/>
          <w:szCs w:val="32"/>
          <w:u w:val="single"/>
          <w:rtl/>
        </w:rPr>
        <w:t>ملاحظة</w:t>
      </w:r>
      <w:r w:rsidRPr="0048553D">
        <w:rPr>
          <w:sz w:val="32"/>
          <w:szCs w:val="32"/>
          <w:u w:val="single"/>
        </w:rPr>
        <w:t xml:space="preserve"> :</w:t>
      </w:r>
      <w:r w:rsidRPr="0048553D">
        <w:rPr>
          <w:sz w:val="32"/>
          <w:szCs w:val="32"/>
        </w:rPr>
        <w:br/>
      </w:r>
      <w:r w:rsidRPr="0048553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8553D" w:rsidRPr="0048553D" w:rsidRDefault="0048553D" w:rsidP="0048553D">
      <w:pPr>
        <w:rPr>
          <w:sz w:val="32"/>
          <w:szCs w:val="32"/>
        </w:rPr>
      </w:pPr>
      <w:bookmarkStart w:id="8" w:name="Anchor124"/>
      <w:bookmarkEnd w:id="8"/>
      <w:r w:rsidRPr="0048553D">
        <w:rPr>
          <w:b/>
          <w:bCs/>
          <w:sz w:val="32"/>
          <w:szCs w:val="32"/>
          <w:rtl/>
        </w:rPr>
        <w:t>المحكمة</w:t>
      </w:r>
    </w:p>
    <w:p w:rsidR="0048553D" w:rsidRPr="0048553D" w:rsidRDefault="0048553D" w:rsidP="0048553D">
      <w:pPr>
        <w:rPr>
          <w:sz w:val="32"/>
          <w:szCs w:val="32"/>
        </w:rPr>
      </w:pPr>
      <w:bookmarkStart w:id="9" w:name="Anchor125"/>
      <w:bookmarkEnd w:id="9"/>
      <w:r w:rsidRPr="0048553D">
        <w:rPr>
          <w:sz w:val="32"/>
          <w:szCs w:val="32"/>
          <w:rtl/>
        </w:rPr>
        <w:t>بعد الاطلاع على الأوراق، وسماع المرافعة الشفوية، وبعد المداولة</w:t>
      </w:r>
      <w:r w:rsidRPr="0048553D">
        <w:rPr>
          <w:sz w:val="32"/>
          <w:szCs w:val="32"/>
        </w:rPr>
        <w:t>.</w:t>
      </w:r>
    </w:p>
    <w:p w:rsidR="0048553D" w:rsidRPr="0048553D" w:rsidRDefault="0048553D" w:rsidP="0048553D">
      <w:pPr>
        <w:rPr>
          <w:sz w:val="32"/>
          <w:szCs w:val="32"/>
        </w:rPr>
      </w:pPr>
      <w:bookmarkStart w:id="10" w:name="Anchor133"/>
      <w:bookmarkEnd w:id="10"/>
      <w:r w:rsidRPr="0048553D">
        <w:rPr>
          <w:sz w:val="32"/>
          <w:szCs w:val="32"/>
          <w:rtl/>
        </w:rPr>
        <w:t>حيث إن الطعن إستوفى أوضاعه الشكلية</w:t>
      </w:r>
      <w:r w:rsidRPr="0048553D">
        <w:rPr>
          <w:sz w:val="32"/>
          <w:szCs w:val="32"/>
        </w:rPr>
        <w:t>.</w:t>
      </w:r>
    </w:p>
    <w:p w:rsidR="0048553D" w:rsidRPr="0048553D" w:rsidRDefault="0048553D" w:rsidP="0048553D">
      <w:pPr>
        <w:rPr>
          <w:sz w:val="32"/>
          <w:szCs w:val="32"/>
        </w:rPr>
      </w:pPr>
      <w:bookmarkStart w:id="11" w:name="Anchor138"/>
      <w:bookmarkEnd w:id="11"/>
      <w:r w:rsidRPr="0048553D">
        <w:rPr>
          <w:sz w:val="32"/>
          <w:szCs w:val="32"/>
          <w:rtl/>
        </w:rPr>
        <w:t xml:space="preserve">وحيث إن الوقائع </w:t>
      </w:r>
      <w:r w:rsidRPr="0048553D">
        <w:rPr>
          <w:sz w:val="32"/>
          <w:szCs w:val="32"/>
        </w:rPr>
        <w:t xml:space="preserve">– </w:t>
      </w:r>
      <w:r w:rsidRPr="0048553D">
        <w:rPr>
          <w:sz w:val="32"/>
          <w:szCs w:val="32"/>
          <w:rtl/>
        </w:rPr>
        <w:t xml:space="preserve">على ما يبين من الحكم المطعون فيه وسائر الأوراق </w:t>
      </w:r>
      <w:r w:rsidRPr="0048553D">
        <w:rPr>
          <w:sz w:val="32"/>
          <w:szCs w:val="32"/>
        </w:rPr>
        <w:t xml:space="preserve">– </w:t>
      </w:r>
      <w:r w:rsidRPr="0048553D">
        <w:rPr>
          <w:sz w:val="32"/>
          <w:szCs w:val="32"/>
          <w:rtl/>
        </w:rPr>
        <w:t xml:space="preserve">تتحصل في أن المطعون ضدها أقامت على الشركة الطاعنة الدعوى رقم </w:t>
      </w:r>
      <w:r w:rsidRPr="0048553D">
        <w:rPr>
          <w:sz w:val="32"/>
          <w:szCs w:val="32"/>
        </w:rPr>
        <w:t xml:space="preserve">490/2012 </w:t>
      </w:r>
      <w:r w:rsidRPr="0048553D">
        <w:rPr>
          <w:sz w:val="32"/>
          <w:szCs w:val="32"/>
          <w:rtl/>
        </w:rPr>
        <w:lastRenderedPageBreak/>
        <w:t xml:space="preserve">تجاري كلي بطلب الحكم وفقاً لطلباتها الختامية </w:t>
      </w:r>
      <w:r w:rsidRPr="0048553D">
        <w:rPr>
          <w:sz w:val="32"/>
          <w:szCs w:val="32"/>
        </w:rPr>
        <w:t xml:space="preserve">– </w:t>
      </w:r>
      <w:r w:rsidRPr="0048553D">
        <w:rPr>
          <w:sz w:val="32"/>
          <w:szCs w:val="32"/>
          <w:rtl/>
        </w:rPr>
        <w:t xml:space="preserve">بإلزامها بأن تؤدي لها مبلغ </w:t>
      </w:r>
      <w:r w:rsidRPr="0048553D">
        <w:rPr>
          <w:sz w:val="32"/>
          <w:szCs w:val="32"/>
        </w:rPr>
        <w:t xml:space="preserve">52000 </w:t>
      </w:r>
      <w:r w:rsidRPr="0048553D">
        <w:rPr>
          <w:sz w:val="32"/>
          <w:szCs w:val="32"/>
          <w:rtl/>
        </w:rPr>
        <w:t xml:space="preserve">دينار تعويضاً عما لحق بها من أضرار مادية وأدبية، وفسخ عقد الإيجار المؤرخ 2009/5/5 وإلزامها برد المبلغ الذي تسلمته كإيجار للعين المؤجرة لعدم التمكين من الإنتفاع بها، ومبلغ 4000 د.ك قيمة التجهيزات التي قامت بها بالعين </w:t>
      </w:r>
      <w:r w:rsidRPr="0048553D">
        <w:rPr>
          <w:sz w:val="32"/>
          <w:szCs w:val="32"/>
        </w:rPr>
        <w:t xml:space="preserve">– </w:t>
      </w:r>
      <w:r w:rsidRPr="0048553D">
        <w:rPr>
          <w:sz w:val="32"/>
          <w:szCs w:val="32"/>
          <w:rtl/>
        </w:rPr>
        <w:t xml:space="preserve">وقالت بياناً لدعواها أنه بموجب عقد الإيجار سالف الذكر إستأجرت من الشركة الطاعنة المحل المبين بالصحيفة لإستغلاله في نشاط "مأكولات خفيفة" مقابل إيجار شهري 550 د.ك، وقد قامت بتجهيز المحل إلا أنها فوجئت بوجود قرار من بلدية الكويت </w:t>
      </w:r>
      <w:r w:rsidRPr="0048553D">
        <w:rPr>
          <w:sz w:val="32"/>
          <w:szCs w:val="32"/>
        </w:rPr>
        <w:t xml:space="preserve">– </w:t>
      </w:r>
      <w:r w:rsidRPr="0048553D">
        <w:rPr>
          <w:sz w:val="32"/>
          <w:szCs w:val="32"/>
          <w:rtl/>
        </w:rPr>
        <w:t xml:space="preserve">سابق على إبرام العقد </w:t>
      </w:r>
      <w:r w:rsidRPr="0048553D">
        <w:rPr>
          <w:sz w:val="32"/>
          <w:szCs w:val="32"/>
        </w:rPr>
        <w:t xml:space="preserve">– </w:t>
      </w:r>
      <w:r w:rsidRPr="0048553D">
        <w:rPr>
          <w:sz w:val="32"/>
          <w:szCs w:val="32"/>
          <w:rtl/>
        </w:rPr>
        <w:t xml:space="preserve">بوقف إصدار أي تصاريح بهذا النشاط رغم أنها استصدرت موافقة وزارة التجارة والصناعة على هذا النشاط، ولما كانت الشركة الطاعنة </w:t>
      </w:r>
      <w:r w:rsidRPr="0048553D">
        <w:rPr>
          <w:sz w:val="32"/>
          <w:szCs w:val="32"/>
        </w:rPr>
        <w:t xml:space="preserve">– </w:t>
      </w:r>
      <w:r w:rsidRPr="0048553D">
        <w:rPr>
          <w:sz w:val="32"/>
          <w:szCs w:val="32"/>
          <w:rtl/>
        </w:rPr>
        <w:t xml:space="preserve">المؤجرة </w:t>
      </w:r>
      <w:r w:rsidRPr="0048553D">
        <w:rPr>
          <w:sz w:val="32"/>
          <w:szCs w:val="32"/>
        </w:rPr>
        <w:t xml:space="preserve">– </w:t>
      </w:r>
      <w:r w:rsidRPr="0048553D">
        <w:rPr>
          <w:sz w:val="32"/>
          <w:szCs w:val="32"/>
          <w:rtl/>
        </w:rPr>
        <w:t>تعلم عند إبرام العقد بهذا القرار ورغم ذلك أقدمت على تأجير المحل لها واستمرت في تحصيل الأجرة الأمر الذي الحق بها أضراراً تقدرها بالمبلغ المطالب به ومن ثم كانت الدعوى . ندبت المحكمة خبيراً وبعد أن أودع تقريره حكمت بتاريخ 2013/1/9 برفض الدعوى إستأنفت المطعون ضدها هذا الحكم بالإستئناف رقم 548 لسنة 2013 تجارة وبتاريخ 2013/5/29 قضت المحكمة بإلغاء الحكم المستأنف وبإلزام الشركة الطاعنة بأن تؤدي للمطعون ضدها مبلغ 2750 د.ك ورفضت ما عدا ذلك من طلبات</w:t>
      </w:r>
      <w:r w:rsidRPr="0048553D">
        <w:rPr>
          <w:sz w:val="32"/>
          <w:szCs w:val="32"/>
        </w:rPr>
        <w:t xml:space="preserve">. </w:t>
      </w:r>
      <w:r w:rsidRPr="0048553D">
        <w:rPr>
          <w:sz w:val="32"/>
          <w:szCs w:val="32"/>
          <w:rtl/>
        </w:rPr>
        <w:t>طعنت الشركة الطاعنة في هذا الحكم بطريق التمييز وقدمت النيابة مذكرة أبدت فيها الرأي برفضه وإذ عرض على هذه المحكمة في غرفة المشورة حددت لنظره جلسة وفيها التزمت النيابة رأيها</w:t>
      </w:r>
      <w:r w:rsidRPr="0048553D">
        <w:rPr>
          <w:sz w:val="32"/>
          <w:szCs w:val="32"/>
        </w:rPr>
        <w:t>.</w:t>
      </w:r>
    </w:p>
    <w:p w:rsidR="0048553D" w:rsidRPr="0048553D" w:rsidRDefault="0048553D" w:rsidP="0048553D">
      <w:pPr>
        <w:rPr>
          <w:sz w:val="32"/>
          <w:szCs w:val="32"/>
        </w:rPr>
      </w:pPr>
      <w:bookmarkStart w:id="12" w:name="Anchor279"/>
      <w:bookmarkEnd w:id="12"/>
      <w:r w:rsidRPr="0048553D">
        <w:rPr>
          <w:sz w:val="32"/>
          <w:szCs w:val="32"/>
          <w:rtl/>
        </w:rPr>
        <w:t xml:space="preserve">وحيث إن الطعن أقيم على سببين تنعي الطاعنة بالوجه الأول من السبب الأول منها على الحكم المطعون فيه مخالفة القانون والخطأ في تطبيقه ذلك أنه قضى لصالحها بموجب الحكم الصادر في الدعوى رقم 6342 لسنة 2012 تجاري كلي المؤيد بالإستئناف رقم 863 لسنة 2012 </w:t>
      </w:r>
      <w:r w:rsidRPr="0048553D">
        <w:rPr>
          <w:sz w:val="32"/>
          <w:szCs w:val="32"/>
        </w:rPr>
        <w:t xml:space="preserve">– </w:t>
      </w:r>
      <w:r w:rsidRPr="0048553D">
        <w:rPr>
          <w:sz w:val="32"/>
          <w:szCs w:val="32"/>
          <w:rtl/>
        </w:rPr>
        <w:t>بإلزام المطعون ضده بأداء متأخر الأجرة والإخلاء من العين وإذ خالف الحكم المطعون فيه حجية ذلك الحكم التي تعلو على النظام العام فإنه يكون معيباً بما يستوجب تمييزه</w:t>
      </w:r>
      <w:r w:rsidRPr="0048553D">
        <w:rPr>
          <w:sz w:val="32"/>
          <w:szCs w:val="32"/>
        </w:rPr>
        <w:t>.</w:t>
      </w:r>
    </w:p>
    <w:p w:rsidR="0048553D" w:rsidRPr="0048553D" w:rsidRDefault="0048553D" w:rsidP="0048553D">
      <w:pPr>
        <w:rPr>
          <w:sz w:val="32"/>
          <w:szCs w:val="32"/>
        </w:rPr>
      </w:pPr>
      <w:bookmarkStart w:id="13" w:name="Anchor318"/>
      <w:bookmarkStart w:id="14" w:name="TM2014_1442_1"/>
      <w:bookmarkEnd w:id="13"/>
      <w:bookmarkEnd w:id="14"/>
      <w:r w:rsidRPr="0048553D">
        <w:rPr>
          <w:b/>
          <w:bCs/>
          <w:sz w:val="32"/>
          <w:szCs w:val="32"/>
          <w:rtl/>
        </w:rPr>
        <w:t xml:space="preserve">وحيث إن هذا النعي غير مقبول </w:t>
      </w:r>
      <w:r w:rsidRPr="0048553D">
        <w:rPr>
          <w:b/>
          <w:bCs/>
          <w:sz w:val="32"/>
          <w:szCs w:val="32"/>
        </w:rPr>
        <w:t xml:space="preserve">– </w:t>
      </w:r>
      <w:r w:rsidRPr="0048553D">
        <w:rPr>
          <w:b/>
          <w:bCs/>
          <w:sz w:val="32"/>
          <w:szCs w:val="32"/>
          <w:rtl/>
        </w:rPr>
        <w:t xml:space="preserve">ذلك أن من المقرر في قضاء هذه المحكمة </w:t>
      </w:r>
      <w:r w:rsidRPr="0048553D">
        <w:rPr>
          <w:b/>
          <w:bCs/>
          <w:sz w:val="32"/>
          <w:szCs w:val="32"/>
        </w:rPr>
        <w:t xml:space="preserve">– </w:t>
      </w:r>
      <w:r w:rsidRPr="0048553D">
        <w:rPr>
          <w:b/>
          <w:bCs/>
          <w:sz w:val="32"/>
          <w:szCs w:val="32"/>
          <w:rtl/>
        </w:rPr>
        <w:t xml:space="preserve">أنه لا يجوز التمسك أمام محكمة التمييز بدفاع لم يسبق إبداؤه أمام محكمة الموضوع إذ أن مهمة محكمة التمييز وهي بصدد النظر في مخالفة محكمة الموضوع للقانون محددة بفحص ما كان معروضاً عليها لا فيما لم يسبق طرحة أمامها </w:t>
      </w:r>
      <w:r w:rsidRPr="0048553D">
        <w:rPr>
          <w:b/>
          <w:bCs/>
          <w:sz w:val="32"/>
          <w:szCs w:val="32"/>
        </w:rPr>
        <w:t>–</w:t>
      </w:r>
      <w:r w:rsidRPr="0048553D">
        <w:rPr>
          <w:sz w:val="32"/>
          <w:szCs w:val="32"/>
        </w:rPr>
        <w:t xml:space="preserve"> </w:t>
      </w:r>
    </w:p>
    <w:p w:rsidR="0048553D" w:rsidRPr="0048553D" w:rsidRDefault="0048553D" w:rsidP="0048553D">
      <w:pPr>
        <w:rPr>
          <w:sz w:val="32"/>
          <w:szCs w:val="32"/>
        </w:rPr>
      </w:pPr>
      <w:bookmarkStart w:id="15" w:name="Anchor348"/>
      <w:bookmarkStart w:id="16" w:name="TM2014_1442_2"/>
      <w:bookmarkEnd w:id="15"/>
      <w:bookmarkEnd w:id="16"/>
      <w:r w:rsidRPr="0048553D">
        <w:rPr>
          <w:b/>
          <w:bCs/>
          <w:sz w:val="32"/>
          <w:szCs w:val="32"/>
          <w:rtl/>
        </w:rPr>
        <w:t xml:space="preserve">لما كان ذلك وكان البين من الأوراق أن الشركة الطاعنة لم يسبق لها التمسك بحجية الحكم الصادر في الدعوى رقم </w:t>
      </w:r>
      <w:r w:rsidRPr="0048553D">
        <w:rPr>
          <w:b/>
          <w:bCs/>
          <w:sz w:val="32"/>
          <w:szCs w:val="32"/>
        </w:rPr>
        <w:t xml:space="preserve">634 </w:t>
      </w:r>
      <w:r w:rsidRPr="0048553D">
        <w:rPr>
          <w:b/>
          <w:bCs/>
          <w:sz w:val="32"/>
          <w:szCs w:val="32"/>
          <w:rtl/>
        </w:rPr>
        <w:t>لسنة 2012 تجاري كلي واستئنافه رقم 863 لسنة 2012 وهو دفاع قانوني يتعلق بواقع لم يسبق لها التمسك به أمام محكمة الموضوع ومن ثم لا يجوز التحدي به لأول مرة أمام هذه المحكمة ويكون معه النعي على الحكم بهذا الوجه غير مقبول</w:t>
      </w:r>
      <w:r w:rsidRPr="0048553D">
        <w:rPr>
          <w:b/>
          <w:bCs/>
          <w:sz w:val="32"/>
          <w:szCs w:val="32"/>
        </w:rPr>
        <w:t>.</w:t>
      </w:r>
    </w:p>
    <w:p w:rsidR="0048553D" w:rsidRPr="0048553D" w:rsidRDefault="0048553D" w:rsidP="0048553D">
      <w:pPr>
        <w:rPr>
          <w:sz w:val="32"/>
          <w:szCs w:val="32"/>
        </w:rPr>
      </w:pPr>
      <w:bookmarkStart w:id="17" w:name="Anchor377"/>
      <w:bookmarkEnd w:id="17"/>
      <w:r w:rsidRPr="0048553D">
        <w:rPr>
          <w:sz w:val="32"/>
          <w:szCs w:val="32"/>
          <w:rtl/>
        </w:rPr>
        <w:t xml:space="preserve">وحيث إن الطاعنة تنعي بالوجه الثاني من السبب الأول والسبب الثاني على الحكم المطعون فيه مخالفة القانون والخطأ في تطبيقه والقصور في التسبيب والفساد في الإستدلال ومخالفة الثابت بالأوراق ذلك أن الحكم أقام قضاءه بإلزامها برد قيمة ما قبضته من أجرة بمبلغ </w:t>
      </w:r>
      <w:r w:rsidRPr="0048553D">
        <w:rPr>
          <w:sz w:val="32"/>
          <w:szCs w:val="32"/>
        </w:rPr>
        <w:t xml:space="preserve">2750 </w:t>
      </w:r>
      <w:r w:rsidRPr="0048553D">
        <w:rPr>
          <w:sz w:val="32"/>
          <w:szCs w:val="32"/>
          <w:rtl/>
        </w:rPr>
        <w:t>د.ك لبطلان العقد في حين انها انتفعت بالعين وأن علاقتها بالمطعون ضدها علاقة تعاقدية يحكمها نصوص عقد الإيجار المؤرخ 2009/5/5 وقد أوفت بكافة التزاماتها الواردة بالعقد وانتفعت بالفعل بالعين التي تسلمتها وعاينتها المعاينة النافية للجهالة وقبلتها بحالتها طبقاً للثابت بالعقد كما أنها الملزمة بموجب البند الخامس من العقد المذكور بإستخراج التراخيص اللازمة لمزاولة النشاط الخاص بالعين ومن ثم فلا احقية لها في المبلغ المقضي به لاستلامها العين وتنفيذ عقد الإيجار وتمكينها من الإنتفاع بالعين وإذ خالف الحكم المطعون فيه هذا النظر فإنه يكون معيباً بما يستوجب تمييزه</w:t>
      </w:r>
      <w:r w:rsidRPr="0048553D">
        <w:rPr>
          <w:sz w:val="32"/>
          <w:szCs w:val="32"/>
        </w:rPr>
        <w:t>.</w:t>
      </w:r>
    </w:p>
    <w:p w:rsidR="0048553D" w:rsidRPr="0048553D" w:rsidRDefault="0048553D" w:rsidP="0048553D">
      <w:pPr>
        <w:rPr>
          <w:sz w:val="32"/>
          <w:szCs w:val="32"/>
        </w:rPr>
      </w:pPr>
      <w:bookmarkStart w:id="18" w:name="Anchor457"/>
      <w:bookmarkStart w:id="19" w:name="TM2014_1442_3"/>
      <w:bookmarkEnd w:id="18"/>
      <w:bookmarkEnd w:id="19"/>
      <w:r w:rsidRPr="0048553D">
        <w:rPr>
          <w:b/>
          <w:bCs/>
          <w:sz w:val="32"/>
          <w:szCs w:val="32"/>
          <w:rtl/>
        </w:rPr>
        <w:t xml:space="preserve">وحيث إن هذا النعي سديد ذلك أن المقرر في قضاء هذه المحكمة أن النص في المواد </w:t>
      </w:r>
      <w:r w:rsidRPr="0048553D">
        <w:rPr>
          <w:b/>
          <w:bCs/>
          <w:sz w:val="32"/>
          <w:szCs w:val="32"/>
        </w:rPr>
        <w:t>196</w:t>
      </w:r>
      <w:r w:rsidRPr="0048553D">
        <w:rPr>
          <w:b/>
          <w:bCs/>
          <w:sz w:val="32"/>
          <w:szCs w:val="32"/>
          <w:rtl/>
        </w:rPr>
        <w:t xml:space="preserve">، </w:t>
      </w:r>
      <w:r w:rsidRPr="0048553D">
        <w:rPr>
          <w:b/>
          <w:bCs/>
          <w:sz w:val="32"/>
          <w:szCs w:val="32"/>
        </w:rPr>
        <w:t>197</w:t>
      </w:r>
      <w:r w:rsidRPr="0048553D">
        <w:rPr>
          <w:b/>
          <w:bCs/>
          <w:sz w:val="32"/>
          <w:szCs w:val="32"/>
          <w:rtl/>
        </w:rPr>
        <w:t xml:space="preserve">، </w:t>
      </w:r>
      <w:r w:rsidRPr="0048553D">
        <w:rPr>
          <w:b/>
          <w:bCs/>
          <w:sz w:val="32"/>
          <w:szCs w:val="32"/>
        </w:rPr>
        <w:t xml:space="preserve">615 </w:t>
      </w:r>
      <w:r w:rsidRPr="0048553D">
        <w:rPr>
          <w:b/>
          <w:bCs/>
          <w:sz w:val="32"/>
          <w:szCs w:val="32"/>
          <w:rtl/>
        </w:rPr>
        <w:t>من القانون المدني أن العقد شريعة المتعاقدين فلا يجوز لأحدهما أن يستقل بنقضه أو تعديل أحكامه، إلا في حدود ما يسمح به الاتفاق أو يقضى به القانون ويجب تنفيذ العقد طبقاً لما يتضمنه من أحكام وبطريقة تتفق مع ما يقتضيه حسن النية وشرف التعامل</w:t>
      </w:r>
      <w:r w:rsidRPr="0048553D">
        <w:rPr>
          <w:sz w:val="32"/>
          <w:szCs w:val="32"/>
          <w:rtl/>
        </w:rPr>
        <w:t xml:space="preserve"> </w:t>
      </w:r>
    </w:p>
    <w:p w:rsidR="0048553D" w:rsidRPr="0048553D" w:rsidRDefault="0048553D" w:rsidP="0048553D">
      <w:pPr>
        <w:rPr>
          <w:sz w:val="32"/>
          <w:szCs w:val="32"/>
        </w:rPr>
      </w:pPr>
      <w:bookmarkStart w:id="20" w:name="Anchor491"/>
      <w:bookmarkStart w:id="21" w:name="TM2014_1442_4"/>
      <w:bookmarkEnd w:id="20"/>
      <w:bookmarkEnd w:id="21"/>
      <w:r w:rsidRPr="0048553D">
        <w:rPr>
          <w:b/>
          <w:bCs/>
          <w:sz w:val="32"/>
          <w:szCs w:val="32"/>
          <w:rtl/>
        </w:rPr>
        <w:t>وأنه إذ لم يباشر المستأجر الإنتفاع بالمأجور أو لم ينتفع به إلا انتفاعاً ناقصاً وكان ذلك راجعاً إلى خطئه أو إلى أمر يتعلق بشخصه، فإنه يبقى ملزماً بالإيجار بالوفاء بما يفرضه عليه العقد من الإلتزامات مادام المؤجر قد وضع المأجور تحت تصرفه في حالة صالحة للانتفاع المتفق عليه</w:t>
      </w:r>
      <w:r w:rsidRPr="0048553D">
        <w:rPr>
          <w:sz w:val="32"/>
          <w:szCs w:val="32"/>
          <w:rtl/>
        </w:rPr>
        <w:t xml:space="preserve"> </w:t>
      </w:r>
    </w:p>
    <w:p w:rsidR="0048553D" w:rsidRPr="0048553D" w:rsidRDefault="0048553D" w:rsidP="0048553D">
      <w:pPr>
        <w:rPr>
          <w:sz w:val="32"/>
          <w:szCs w:val="32"/>
        </w:rPr>
      </w:pPr>
      <w:bookmarkStart w:id="22" w:name="Anchor518"/>
      <w:bookmarkStart w:id="23" w:name="TM2014_1442_5"/>
      <w:bookmarkEnd w:id="22"/>
      <w:bookmarkEnd w:id="23"/>
      <w:r w:rsidRPr="0048553D">
        <w:rPr>
          <w:b/>
          <w:bCs/>
          <w:sz w:val="32"/>
          <w:szCs w:val="32"/>
          <w:rtl/>
        </w:rPr>
        <w:t>مفاده أنه إذا انتفع المستأجر بالعين ومكنه المؤجر من ذلك ولو كان إنتفاعاً ناقصاً وكان عدم الإنتفاع راجعاً إلى خطئه أو إلى أمر يتعلق بشخصه كان ملزماً بالإيجار والوفاء به طبقاً لما يفرضه العقد ما دام المؤجر قد وضع الماجور تحت تصرفه بحالة صالحة للإنتفاع المتفق عليه</w:t>
      </w:r>
      <w:r w:rsidRPr="0048553D">
        <w:rPr>
          <w:sz w:val="32"/>
          <w:szCs w:val="32"/>
          <w:rtl/>
        </w:rPr>
        <w:t xml:space="preserve"> لما كان ذلك وكان الثابت بالأوراق وحافظة المستندات المقدمة من الطاعنة بجلسة 2012/5/9 مستند برقم 2 عبارة عن صورة ضوئية غير مجحودة من المطعون ضدها أنه تم الترخيص لها بمباشرة ذات النشاط المتفق عليه بالعقد بعد موافقة البلدية تحت رقم 649 لسنة 2009 بتاريخ 2009/7/2 وينتهى في 2010/7/30 وثابت بهذا الترخيص الصادر من وزارة التجارة والصناعة إدارة التراخيص التجارية بأسفله أن هذا الترخيص يعتبر ملغي بعد مضى سنة من تاريخ انتهائه وأن تاريخ إصدار الترخيص في 1998/6/29 باسم المطعون ضدها بما يعتبر أن المطعون ضدها استلمت المحل وهو صالح لما إستأجر من أجله والتزمت الطاعنة بتمكينها من الإنتفاع بالعين بما تلتزم معه المطعون ضدها بسداد الأجرة المتفق عليها طبقاً للعقد وإذ خالف الحكم المطعون فيه هذا النظر فإنه يكون معيباً مما يوجب تمييزه</w:t>
      </w:r>
      <w:r w:rsidRPr="0048553D">
        <w:rPr>
          <w:sz w:val="32"/>
          <w:szCs w:val="32"/>
        </w:rPr>
        <w:t>.</w:t>
      </w:r>
    </w:p>
    <w:p w:rsidR="0048553D" w:rsidRPr="0048553D" w:rsidRDefault="0048553D" w:rsidP="0048553D">
      <w:pPr>
        <w:rPr>
          <w:sz w:val="32"/>
          <w:szCs w:val="32"/>
        </w:rPr>
      </w:pPr>
      <w:bookmarkStart w:id="24" w:name="Anchor609"/>
      <w:bookmarkEnd w:id="24"/>
      <w:r w:rsidRPr="0048553D">
        <w:rPr>
          <w:sz w:val="32"/>
          <w:szCs w:val="32"/>
          <w:rtl/>
        </w:rPr>
        <w:t>وحيث أنه عن موضوع الإستئناف رقم 548 لسنة 2013 تجاري/10 ولما تقدم وكان الحكم المستأنف قد إنتهى صحيحاً إلى رفض الدعوى مستنداً في هذا القضاء إلى ما يتفق وما أوردته هذه المحكمة آنفاً فإنه يكون قد اعمل صحيح القانون ويتعين تأييده</w:t>
      </w:r>
      <w:r w:rsidRPr="0048553D">
        <w:rPr>
          <w:sz w:val="32"/>
          <w:szCs w:val="32"/>
        </w:rPr>
        <w:t>.</w:t>
      </w:r>
    </w:p>
    <w:p w:rsidR="0048553D" w:rsidRPr="0048553D" w:rsidRDefault="0048553D" w:rsidP="0048553D">
      <w:pPr>
        <w:rPr>
          <w:sz w:val="32"/>
          <w:szCs w:val="32"/>
        </w:rPr>
      </w:pPr>
      <w:bookmarkStart w:id="25" w:name="Anchor630"/>
      <w:bookmarkEnd w:id="25"/>
      <w:r w:rsidRPr="0048553D">
        <w:rPr>
          <w:sz w:val="32"/>
          <w:szCs w:val="32"/>
          <w:rtl/>
        </w:rPr>
        <w:t>وحيث أنه عن طلب مقابل أتعاب المحاماة الفعلية فإن المحكمة تقدرها بمبلغ مائة دينار عملاً بالمادتين 119 مكرر 147 مرافعات</w:t>
      </w:r>
    </w:p>
    <w:p w:rsidR="0048553D" w:rsidRPr="0048553D" w:rsidRDefault="0048553D" w:rsidP="0048553D">
      <w:pPr>
        <w:rPr>
          <w:sz w:val="32"/>
          <w:szCs w:val="32"/>
        </w:rPr>
      </w:pPr>
      <w:bookmarkStart w:id="26" w:name="Anchor642"/>
      <w:bookmarkEnd w:id="26"/>
      <w:r w:rsidRPr="0048553D">
        <w:rPr>
          <w:b/>
          <w:bCs/>
          <w:sz w:val="32"/>
          <w:szCs w:val="32"/>
          <w:rtl/>
        </w:rPr>
        <w:t>لذلك</w:t>
      </w:r>
    </w:p>
    <w:p w:rsidR="0048553D" w:rsidRPr="0048553D" w:rsidRDefault="0048553D" w:rsidP="0048553D">
      <w:pPr>
        <w:rPr>
          <w:sz w:val="32"/>
          <w:szCs w:val="32"/>
        </w:rPr>
      </w:pPr>
      <w:bookmarkStart w:id="27" w:name="Anchor643"/>
      <w:bookmarkEnd w:id="27"/>
      <w:r w:rsidRPr="0048553D">
        <w:rPr>
          <w:sz w:val="32"/>
          <w:szCs w:val="32"/>
          <w:rtl/>
        </w:rPr>
        <w:t xml:space="preserve">حكمت المحكمة أولاً </w:t>
      </w:r>
      <w:r w:rsidRPr="0048553D">
        <w:rPr>
          <w:sz w:val="32"/>
          <w:szCs w:val="32"/>
        </w:rPr>
        <w:t xml:space="preserve">:- </w:t>
      </w:r>
      <w:r w:rsidRPr="0048553D">
        <w:rPr>
          <w:sz w:val="32"/>
          <w:szCs w:val="32"/>
          <w:rtl/>
        </w:rPr>
        <w:t>بقبول الطعن شكلاً وفي الموضوع بتمييز الحكم المطعون فيه وألزمت المطعون ضدها المصروفات وعشرين ديناراً مقابل أتعاب المحاماة</w:t>
      </w:r>
      <w:r w:rsidRPr="0048553D">
        <w:rPr>
          <w:sz w:val="32"/>
          <w:szCs w:val="32"/>
        </w:rPr>
        <w:t>.</w:t>
      </w:r>
    </w:p>
    <w:p w:rsidR="0048553D" w:rsidRPr="0048553D" w:rsidRDefault="0048553D" w:rsidP="0048553D">
      <w:pPr>
        <w:rPr>
          <w:sz w:val="32"/>
          <w:szCs w:val="32"/>
        </w:rPr>
      </w:pPr>
      <w:bookmarkStart w:id="28" w:name="Anchor659"/>
      <w:bookmarkEnd w:id="28"/>
      <w:r w:rsidRPr="0048553D">
        <w:rPr>
          <w:sz w:val="32"/>
          <w:szCs w:val="32"/>
          <w:rtl/>
        </w:rPr>
        <w:t>ثانياً</w:t>
      </w:r>
      <w:r w:rsidRPr="0048553D">
        <w:rPr>
          <w:sz w:val="32"/>
          <w:szCs w:val="32"/>
        </w:rPr>
        <w:t xml:space="preserve">: </w:t>
      </w:r>
      <w:r w:rsidRPr="0048553D">
        <w:rPr>
          <w:sz w:val="32"/>
          <w:szCs w:val="32"/>
          <w:rtl/>
        </w:rPr>
        <w:t>في موضوع الإستئناف رقم 548 لسنة 2013 تجاري/10 برفضه وتأييد الحكم المستأنف وألزمت المستأنفة المصروفات ومائة ديناراً مقابل أتعاب المحاماة الفعلية</w:t>
      </w:r>
      <w:r w:rsidRPr="0048553D">
        <w:rPr>
          <w:sz w:val="32"/>
          <w:szCs w:val="32"/>
        </w:rPr>
        <w:t>.</w:t>
      </w:r>
    </w:p>
    <w:p w:rsidR="0048553D" w:rsidRPr="0048553D" w:rsidRDefault="0048553D" w:rsidP="0048553D">
      <w:pPr>
        <w:rPr>
          <w:sz w:val="32"/>
          <w:szCs w:val="32"/>
        </w:rPr>
      </w:pPr>
    </w:p>
    <w:p w:rsidR="0048553D" w:rsidRPr="0048553D" w:rsidRDefault="0048553D" w:rsidP="0048553D">
      <w:pPr>
        <w:rPr>
          <w:sz w:val="32"/>
          <w:szCs w:val="32"/>
        </w:rPr>
      </w:pPr>
      <w:bookmarkStart w:id="29" w:name="Anchor675"/>
      <w:bookmarkEnd w:id="29"/>
      <w:r w:rsidRPr="0048553D">
        <w:rPr>
          <w:sz w:val="32"/>
          <w:szCs w:val="32"/>
        </w:rPr>
        <w:t>* * *</w:t>
      </w:r>
    </w:p>
    <w:p w:rsidR="008C2BA0" w:rsidRPr="0048553D" w:rsidRDefault="008C2BA0">
      <w:pPr>
        <w:rPr>
          <w:sz w:val="32"/>
          <w:szCs w:val="32"/>
        </w:rPr>
      </w:pPr>
    </w:p>
    <w:sectPr w:rsidR="008C2BA0" w:rsidRPr="0048553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8A"/>
    <w:rsid w:val="0003272B"/>
    <w:rsid w:val="0048553D"/>
    <w:rsid w:val="008C2BA0"/>
    <w:rsid w:val="00A30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789">
      <w:bodyDiv w:val="1"/>
      <w:marLeft w:val="0"/>
      <w:marRight w:val="0"/>
      <w:marTop w:val="0"/>
      <w:marBottom w:val="0"/>
      <w:divBdr>
        <w:top w:val="none" w:sz="0" w:space="0" w:color="auto"/>
        <w:left w:val="none" w:sz="0" w:space="0" w:color="auto"/>
        <w:bottom w:val="none" w:sz="0" w:space="0" w:color="auto"/>
        <w:right w:val="none" w:sz="0" w:space="0" w:color="auto"/>
      </w:divBdr>
      <w:divsChild>
        <w:div w:id="1913813513">
          <w:marLeft w:val="0"/>
          <w:marRight w:val="0"/>
          <w:marTop w:val="0"/>
          <w:marBottom w:val="0"/>
          <w:divBdr>
            <w:top w:val="none" w:sz="0" w:space="0" w:color="auto"/>
            <w:left w:val="none" w:sz="0" w:space="0" w:color="auto"/>
            <w:bottom w:val="none" w:sz="0" w:space="0" w:color="auto"/>
            <w:right w:val="none" w:sz="0" w:space="0" w:color="auto"/>
          </w:divBdr>
        </w:div>
        <w:div w:id="1299844042">
          <w:marLeft w:val="0"/>
          <w:marRight w:val="0"/>
          <w:marTop w:val="0"/>
          <w:marBottom w:val="0"/>
          <w:divBdr>
            <w:top w:val="none" w:sz="0" w:space="0" w:color="auto"/>
            <w:left w:val="none" w:sz="0" w:space="0" w:color="auto"/>
            <w:bottom w:val="none" w:sz="0" w:space="0" w:color="auto"/>
            <w:right w:val="none" w:sz="0" w:space="0" w:color="auto"/>
          </w:divBdr>
        </w:div>
        <w:div w:id="1251235998">
          <w:marLeft w:val="0"/>
          <w:marRight w:val="0"/>
          <w:marTop w:val="0"/>
          <w:marBottom w:val="0"/>
          <w:divBdr>
            <w:top w:val="none" w:sz="0" w:space="0" w:color="auto"/>
            <w:left w:val="none" w:sz="0" w:space="0" w:color="auto"/>
            <w:bottom w:val="none" w:sz="0" w:space="0" w:color="auto"/>
            <w:right w:val="none" w:sz="0" w:space="0" w:color="auto"/>
          </w:divBdr>
        </w:div>
        <w:div w:id="930818558">
          <w:marLeft w:val="0"/>
          <w:marRight w:val="0"/>
          <w:marTop w:val="0"/>
          <w:marBottom w:val="0"/>
          <w:divBdr>
            <w:top w:val="none" w:sz="0" w:space="0" w:color="auto"/>
            <w:left w:val="none" w:sz="0" w:space="0" w:color="auto"/>
            <w:bottom w:val="none" w:sz="0" w:space="0" w:color="auto"/>
            <w:right w:val="none" w:sz="0" w:space="0" w:color="auto"/>
          </w:divBdr>
        </w:div>
        <w:div w:id="78795379">
          <w:marLeft w:val="0"/>
          <w:marRight w:val="0"/>
          <w:marTop w:val="0"/>
          <w:marBottom w:val="0"/>
          <w:divBdr>
            <w:top w:val="none" w:sz="0" w:space="0" w:color="auto"/>
            <w:left w:val="none" w:sz="0" w:space="0" w:color="auto"/>
            <w:bottom w:val="none" w:sz="0" w:space="0" w:color="auto"/>
            <w:right w:val="none" w:sz="0" w:space="0" w:color="auto"/>
          </w:divBdr>
        </w:div>
        <w:div w:id="874467948">
          <w:marLeft w:val="0"/>
          <w:marRight w:val="0"/>
          <w:marTop w:val="0"/>
          <w:marBottom w:val="0"/>
          <w:divBdr>
            <w:top w:val="none" w:sz="0" w:space="0" w:color="auto"/>
            <w:left w:val="none" w:sz="0" w:space="0" w:color="auto"/>
            <w:bottom w:val="none" w:sz="0" w:space="0" w:color="auto"/>
            <w:right w:val="none" w:sz="0" w:space="0" w:color="auto"/>
          </w:divBdr>
        </w:div>
        <w:div w:id="483476074">
          <w:marLeft w:val="0"/>
          <w:marRight w:val="0"/>
          <w:marTop w:val="0"/>
          <w:marBottom w:val="0"/>
          <w:divBdr>
            <w:top w:val="none" w:sz="0" w:space="0" w:color="auto"/>
            <w:left w:val="none" w:sz="0" w:space="0" w:color="auto"/>
            <w:bottom w:val="none" w:sz="0" w:space="0" w:color="auto"/>
            <w:right w:val="none" w:sz="0" w:space="0" w:color="auto"/>
          </w:divBdr>
        </w:div>
        <w:div w:id="51278082">
          <w:marLeft w:val="0"/>
          <w:marRight w:val="0"/>
          <w:marTop w:val="0"/>
          <w:marBottom w:val="0"/>
          <w:divBdr>
            <w:top w:val="none" w:sz="0" w:space="0" w:color="auto"/>
            <w:left w:val="none" w:sz="0" w:space="0" w:color="auto"/>
            <w:bottom w:val="none" w:sz="0" w:space="0" w:color="auto"/>
            <w:right w:val="none" w:sz="0" w:space="0" w:color="auto"/>
          </w:divBdr>
        </w:div>
        <w:div w:id="2074816098">
          <w:marLeft w:val="0"/>
          <w:marRight w:val="0"/>
          <w:marTop w:val="0"/>
          <w:marBottom w:val="0"/>
          <w:divBdr>
            <w:top w:val="none" w:sz="0" w:space="0" w:color="auto"/>
            <w:left w:val="none" w:sz="0" w:space="0" w:color="auto"/>
            <w:bottom w:val="none" w:sz="0" w:space="0" w:color="auto"/>
            <w:right w:val="none" w:sz="0" w:space="0" w:color="auto"/>
          </w:divBdr>
        </w:div>
        <w:div w:id="1903173488">
          <w:marLeft w:val="0"/>
          <w:marRight w:val="0"/>
          <w:marTop w:val="0"/>
          <w:marBottom w:val="0"/>
          <w:divBdr>
            <w:top w:val="none" w:sz="0" w:space="0" w:color="auto"/>
            <w:left w:val="none" w:sz="0" w:space="0" w:color="auto"/>
            <w:bottom w:val="none" w:sz="0" w:space="0" w:color="auto"/>
            <w:right w:val="none" w:sz="0" w:space="0" w:color="auto"/>
          </w:divBdr>
        </w:div>
        <w:div w:id="658654339">
          <w:marLeft w:val="0"/>
          <w:marRight w:val="0"/>
          <w:marTop w:val="0"/>
          <w:marBottom w:val="0"/>
          <w:divBdr>
            <w:top w:val="none" w:sz="0" w:space="0" w:color="auto"/>
            <w:left w:val="none" w:sz="0" w:space="0" w:color="auto"/>
            <w:bottom w:val="none" w:sz="0" w:space="0" w:color="auto"/>
            <w:right w:val="none" w:sz="0" w:space="0" w:color="auto"/>
          </w:divBdr>
        </w:div>
        <w:div w:id="2123919279">
          <w:marLeft w:val="0"/>
          <w:marRight w:val="0"/>
          <w:marTop w:val="0"/>
          <w:marBottom w:val="0"/>
          <w:divBdr>
            <w:top w:val="none" w:sz="0" w:space="0" w:color="auto"/>
            <w:left w:val="none" w:sz="0" w:space="0" w:color="auto"/>
            <w:bottom w:val="none" w:sz="0" w:space="0" w:color="auto"/>
            <w:right w:val="none" w:sz="0" w:space="0" w:color="auto"/>
          </w:divBdr>
        </w:div>
        <w:div w:id="918714380">
          <w:marLeft w:val="0"/>
          <w:marRight w:val="0"/>
          <w:marTop w:val="0"/>
          <w:marBottom w:val="0"/>
          <w:divBdr>
            <w:top w:val="none" w:sz="0" w:space="0" w:color="auto"/>
            <w:left w:val="none" w:sz="0" w:space="0" w:color="auto"/>
            <w:bottom w:val="none" w:sz="0" w:space="0" w:color="auto"/>
            <w:right w:val="none" w:sz="0" w:space="0" w:color="auto"/>
          </w:divBdr>
        </w:div>
        <w:div w:id="57215875">
          <w:marLeft w:val="0"/>
          <w:marRight w:val="0"/>
          <w:marTop w:val="0"/>
          <w:marBottom w:val="0"/>
          <w:divBdr>
            <w:top w:val="none" w:sz="0" w:space="0" w:color="auto"/>
            <w:left w:val="none" w:sz="0" w:space="0" w:color="auto"/>
            <w:bottom w:val="none" w:sz="0" w:space="0" w:color="auto"/>
            <w:right w:val="none" w:sz="0" w:space="0" w:color="auto"/>
          </w:divBdr>
        </w:div>
        <w:div w:id="1000739172">
          <w:marLeft w:val="0"/>
          <w:marRight w:val="0"/>
          <w:marTop w:val="0"/>
          <w:marBottom w:val="0"/>
          <w:divBdr>
            <w:top w:val="none" w:sz="0" w:space="0" w:color="auto"/>
            <w:left w:val="none" w:sz="0" w:space="0" w:color="auto"/>
            <w:bottom w:val="none" w:sz="0" w:space="0" w:color="auto"/>
            <w:right w:val="none" w:sz="0" w:space="0" w:color="auto"/>
          </w:divBdr>
        </w:div>
        <w:div w:id="1166214375">
          <w:marLeft w:val="0"/>
          <w:marRight w:val="0"/>
          <w:marTop w:val="0"/>
          <w:marBottom w:val="0"/>
          <w:divBdr>
            <w:top w:val="none" w:sz="0" w:space="0" w:color="auto"/>
            <w:left w:val="none" w:sz="0" w:space="0" w:color="auto"/>
            <w:bottom w:val="none" w:sz="0" w:space="0" w:color="auto"/>
            <w:right w:val="none" w:sz="0" w:space="0" w:color="auto"/>
          </w:divBdr>
        </w:div>
        <w:div w:id="730613990">
          <w:marLeft w:val="0"/>
          <w:marRight w:val="0"/>
          <w:marTop w:val="0"/>
          <w:marBottom w:val="0"/>
          <w:divBdr>
            <w:top w:val="none" w:sz="0" w:space="0" w:color="auto"/>
            <w:left w:val="none" w:sz="0" w:space="0" w:color="auto"/>
            <w:bottom w:val="none" w:sz="0" w:space="0" w:color="auto"/>
            <w:right w:val="none" w:sz="0" w:space="0" w:color="auto"/>
          </w:divBdr>
        </w:div>
        <w:div w:id="1048141971">
          <w:marLeft w:val="0"/>
          <w:marRight w:val="0"/>
          <w:marTop w:val="0"/>
          <w:marBottom w:val="0"/>
          <w:divBdr>
            <w:top w:val="none" w:sz="0" w:space="0" w:color="auto"/>
            <w:left w:val="none" w:sz="0" w:space="0" w:color="auto"/>
            <w:bottom w:val="none" w:sz="0" w:space="0" w:color="auto"/>
            <w:right w:val="none" w:sz="0" w:space="0" w:color="auto"/>
          </w:divBdr>
        </w:div>
        <w:div w:id="312878343">
          <w:marLeft w:val="0"/>
          <w:marRight w:val="0"/>
          <w:marTop w:val="0"/>
          <w:marBottom w:val="0"/>
          <w:divBdr>
            <w:top w:val="none" w:sz="0" w:space="0" w:color="auto"/>
            <w:left w:val="none" w:sz="0" w:space="0" w:color="auto"/>
            <w:bottom w:val="none" w:sz="0" w:space="0" w:color="auto"/>
            <w:right w:val="none" w:sz="0" w:space="0" w:color="auto"/>
          </w:divBdr>
        </w:div>
        <w:div w:id="307319561">
          <w:marLeft w:val="0"/>
          <w:marRight w:val="0"/>
          <w:marTop w:val="0"/>
          <w:marBottom w:val="0"/>
          <w:divBdr>
            <w:top w:val="none" w:sz="0" w:space="0" w:color="auto"/>
            <w:left w:val="none" w:sz="0" w:space="0" w:color="auto"/>
            <w:bottom w:val="none" w:sz="0" w:space="0" w:color="auto"/>
            <w:right w:val="none" w:sz="0" w:space="0" w:color="auto"/>
          </w:divBdr>
        </w:div>
        <w:div w:id="578902577">
          <w:marLeft w:val="0"/>
          <w:marRight w:val="0"/>
          <w:marTop w:val="0"/>
          <w:marBottom w:val="0"/>
          <w:divBdr>
            <w:top w:val="none" w:sz="0" w:space="0" w:color="auto"/>
            <w:left w:val="none" w:sz="0" w:space="0" w:color="auto"/>
            <w:bottom w:val="none" w:sz="0" w:space="0" w:color="auto"/>
            <w:right w:val="none" w:sz="0" w:space="0" w:color="auto"/>
          </w:divBdr>
        </w:div>
        <w:div w:id="554006283">
          <w:marLeft w:val="0"/>
          <w:marRight w:val="0"/>
          <w:marTop w:val="0"/>
          <w:marBottom w:val="0"/>
          <w:divBdr>
            <w:top w:val="none" w:sz="0" w:space="0" w:color="auto"/>
            <w:left w:val="none" w:sz="0" w:space="0" w:color="auto"/>
            <w:bottom w:val="none" w:sz="0" w:space="0" w:color="auto"/>
            <w:right w:val="none" w:sz="0" w:space="0" w:color="auto"/>
          </w:divBdr>
        </w:div>
        <w:div w:id="118114845">
          <w:marLeft w:val="0"/>
          <w:marRight w:val="0"/>
          <w:marTop w:val="0"/>
          <w:marBottom w:val="0"/>
          <w:divBdr>
            <w:top w:val="none" w:sz="0" w:space="0" w:color="auto"/>
            <w:left w:val="none" w:sz="0" w:space="0" w:color="auto"/>
            <w:bottom w:val="none" w:sz="0" w:space="0" w:color="auto"/>
            <w:right w:val="none" w:sz="0" w:space="0" w:color="auto"/>
          </w:divBdr>
        </w:div>
        <w:div w:id="1209759886">
          <w:marLeft w:val="0"/>
          <w:marRight w:val="0"/>
          <w:marTop w:val="0"/>
          <w:marBottom w:val="0"/>
          <w:divBdr>
            <w:top w:val="none" w:sz="0" w:space="0" w:color="auto"/>
            <w:left w:val="none" w:sz="0" w:space="0" w:color="auto"/>
            <w:bottom w:val="none" w:sz="0" w:space="0" w:color="auto"/>
            <w:right w:val="none" w:sz="0" w:space="0" w:color="auto"/>
          </w:divBdr>
        </w:div>
      </w:divsChild>
    </w:div>
    <w:div w:id="15950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877639">
          <w:marLeft w:val="0"/>
          <w:marRight w:val="0"/>
          <w:marTop w:val="0"/>
          <w:marBottom w:val="0"/>
          <w:divBdr>
            <w:top w:val="none" w:sz="0" w:space="0" w:color="auto"/>
            <w:left w:val="none" w:sz="0" w:space="0" w:color="auto"/>
            <w:bottom w:val="none" w:sz="0" w:space="0" w:color="auto"/>
            <w:right w:val="none" w:sz="0" w:space="0" w:color="auto"/>
          </w:divBdr>
        </w:div>
        <w:div w:id="1303848317">
          <w:marLeft w:val="0"/>
          <w:marRight w:val="0"/>
          <w:marTop w:val="0"/>
          <w:marBottom w:val="0"/>
          <w:divBdr>
            <w:top w:val="none" w:sz="0" w:space="0" w:color="auto"/>
            <w:left w:val="none" w:sz="0" w:space="0" w:color="auto"/>
            <w:bottom w:val="none" w:sz="0" w:space="0" w:color="auto"/>
            <w:right w:val="none" w:sz="0" w:space="0" w:color="auto"/>
          </w:divBdr>
        </w:div>
        <w:div w:id="1253660569">
          <w:marLeft w:val="0"/>
          <w:marRight w:val="0"/>
          <w:marTop w:val="0"/>
          <w:marBottom w:val="0"/>
          <w:divBdr>
            <w:top w:val="none" w:sz="0" w:space="0" w:color="auto"/>
            <w:left w:val="none" w:sz="0" w:space="0" w:color="auto"/>
            <w:bottom w:val="none" w:sz="0" w:space="0" w:color="auto"/>
            <w:right w:val="none" w:sz="0" w:space="0" w:color="auto"/>
          </w:divBdr>
        </w:div>
        <w:div w:id="859584868">
          <w:marLeft w:val="0"/>
          <w:marRight w:val="0"/>
          <w:marTop w:val="0"/>
          <w:marBottom w:val="0"/>
          <w:divBdr>
            <w:top w:val="none" w:sz="0" w:space="0" w:color="auto"/>
            <w:left w:val="none" w:sz="0" w:space="0" w:color="auto"/>
            <w:bottom w:val="none" w:sz="0" w:space="0" w:color="auto"/>
            <w:right w:val="none" w:sz="0" w:space="0" w:color="auto"/>
          </w:divBdr>
        </w:div>
        <w:div w:id="1338267036">
          <w:marLeft w:val="0"/>
          <w:marRight w:val="0"/>
          <w:marTop w:val="0"/>
          <w:marBottom w:val="0"/>
          <w:divBdr>
            <w:top w:val="none" w:sz="0" w:space="0" w:color="auto"/>
            <w:left w:val="none" w:sz="0" w:space="0" w:color="auto"/>
            <w:bottom w:val="none" w:sz="0" w:space="0" w:color="auto"/>
            <w:right w:val="none" w:sz="0" w:space="0" w:color="auto"/>
          </w:divBdr>
        </w:div>
        <w:div w:id="1786806203">
          <w:marLeft w:val="0"/>
          <w:marRight w:val="0"/>
          <w:marTop w:val="0"/>
          <w:marBottom w:val="0"/>
          <w:divBdr>
            <w:top w:val="none" w:sz="0" w:space="0" w:color="auto"/>
            <w:left w:val="none" w:sz="0" w:space="0" w:color="auto"/>
            <w:bottom w:val="none" w:sz="0" w:space="0" w:color="auto"/>
            <w:right w:val="none" w:sz="0" w:space="0" w:color="auto"/>
          </w:divBdr>
        </w:div>
        <w:div w:id="1417095685">
          <w:marLeft w:val="0"/>
          <w:marRight w:val="0"/>
          <w:marTop w:val="0"/>
          <w:marBottom w:val="0"/>
          <w:divBdr>
            <w:top w:val="none" w:sz="0" w:space="0" w:color="auto"/>
            <w:left w:val="none" w:sz="0" w:space="0" w:color="auto"/>
            <w:bottom w:val="none" w:sz="0" w:space="0" w:color="auto"/>
            <w:right w:val="none" w:sz="0" w:space="0" w:color="auto"/>
          </w:divBdr>
        </w:div>
        <w:div w:id="304894758">
          <w:marLeft w:val="0"/>
          <w:marRight w:val="0"/>
          <w:marTop w:val="0"/>
          <w:marBottom w:val="0"/>
          <w:divBdr>
            <w:top w:val="none" w:sz="0" w:space="0" w:color="auto"/>
            <w:left w:val="none" w:sz="0" w:space="0" w:color="auto"/>
            <w:bottom w:val="none" w:sz="0" w:space="0" w:color="auto"/>
            <w:right w:val="none" w:sz="0" w:space="0" w:color="auto"/>
          </w:divBdr>
        </w:div>
        <w:div w:id="1955361378">
          <w:marLeft w:val="0"/>
          <w:marRight w:val="0"/>
          <w:marTop w:val="0"/>
          <w:marBottom w:val="0"/>
          <w:divBdr>
            <w:top w:val="none" w:sz="0" w:space="0" w:color="auto"/>
            <w:left w:val="none" w:sz="0" w:space="0" w:color="auto"/>
            <w:bottom w:val="none" w:sz="0" w:space="0" w:color="auto"/>
            <w:right w:val="none" w:sz="0" w:space="0" w:color="auto"/>
          </w:divBdr>
        </w:div>
        <w:div w:id="848561587">
          <w:marLeft w:val="0"/>
          <w:marRight w:val="0"/>
          <w:marTop w:val="0"/>
          <w:marBottom w:val="0"/>
          <w:divBdr>
            <w:top w:val="none" w:sz="0" w:space="0" w:color="auto"/>
            <w:left w:val="none" w:sz="0" w:space="0" w:color="auto"/>
            <w:bottom w:val="none" w:sz="0" w:space="0" w:color="auto"/>
            <w:right w:val="none" w:sz="0" w:space="0" w:color="auto"/>
          </w:divBdr>
        </w:div>
        <w:div w:id="586619886">
          <w:marLeft w:val="0"/>
          <w:marRight w:val="0"/>
          <w:marTop w:val="0"/>
          <w:marBottom w:val="0"/>
          <w:divBdr>
            <w:top w:val="none" w:sz="0" w:space="0" w:color="auto"/>
            <w:left w:val="none" w:sz="0" w:space="0" w:color="auto"/>
            <w:bottom w:val="none" w:sz="0" w:space="0" w:color="auto"/>
            <w:right w:val="none" w:sz="0" w:space="0" w:color="auto"/>
          </w:divBdr>
        </w:div>
        <w:div w:id="437263702">
          <w:marLeft w:val="0"/>
          <w:marRight w:val="0"/>
          <w:marTop w:val="0"/>
          <w:marBottom w:val="0"/>
          <w:divBdr>
            <w:top w:val="none" w:sz="0" w:space="0" w:color="auto"/>
            <w:left w:val="none" w:sz="0" w:space="0" w:color="auto"/>
            <w:bottom w:val="none" w:sz="0" w:space="0" w:color="auto"/>
            <w:right w:val="none" w:sz="0" w:space="0" w:color="auto"/>
          </w:divBdr>
        </w:div>
        <w:div w:id="82193395">
          <w:marLeft w:val="0"/>
          <w:marRight w:val="0"/>
          <w:marTop w:val="0"/>
          <w:marBottom w:val="0"/>
          <w:divBdr>
            <w:top w:val="none" w:sz="0" w:space="0" w:color="auto"/>
            <w:left w:val="none" w:sz="0" w:space="0" w:color="auto"/>
            <w:bottom w:val="none" w:sz="0" w:space="0" w:color="auto"/>
            <w:right w:val="none" w:sz="0" w:space="0" w:color="auto"/>
          </w:divBdr>
        </w:div>
        <w:div w:id="347486791">
          <w:marLeft w:val="0"/>
          <w:marRight w:val="0"/>
          <w:marTop w:val="0"/>
          <w:marBottom w:val="0"/>
          <w:divBdr>
            <w:top w:val="none" w:sz="0" w:space="0" w:color="auto"/>
            <w:left w:val="none" w:sz="0" w:space="0" w:color="auto"/>
            <w:bottom w:val="none" w:sz="0" w:space="0" w:color="auto"/>
            <w:right w:val="none" w:sz="0" w:space="0" w:color="auto"/>
          </w:divBdr>
        </w:div>
        <w:div w:id="1077938324">
          <w:marLeft w:val="0"/>
          <w:marRight w:val="0"/>
          <w:marTop w:val="0"/>
          <w:marBottom w:val="0"/>
          <w:divBdr>
            <w:top w:val="none" w:sz="0" w:space="0" w:color="auto"/>
            <w:left w:val="none" w:sz="0" w:space="0" w:color="auto"/>
            <w:bottom w:val="none" w:sz="0" w:space="0" w:color="auto"/>
            <w:right w:val="none" w:sz="0" w:space="0" w:color="auto"/>
          </w:divBdr>
        </w:div>
        <w:div w:id="666906386">
          <w:marLeft w:val="0"/>
          <w:marRight w:val="0"/>
          <w:marTop w:val="0"/>
          <w:marBottom w:val="0"/>
          <w:divBdr>
            <w:top w:val="none" w:sz="0" w:space="0" w:color="auto"/>
            <w:left w:val="none" w:sz="0" w:space="0" w:color="auto"/>
            <w:bottom w:val="none" w:sz="0" w:space="0" w:color="auto"/>
            <w:right w:val="none" w:sz="0" w:space="0" w:color="auto"/>
          </w:divBdr>
        </w:div>
        <w:div w:id="1579368810">
          <w:marLeft w:val="0"/>
          <w:marRight w:val="0"/>
          <w:marTop w:val="0"/>
          <w:marBottom w:val="0"/>
          <w:divBdr>
            <w:top w:val="none" w:sz="0" w:space="0" w:color="auto"/>
            <w:left w:val="none" w:sz="0" w:space="0" w:color="auto"/>
            <w:bottom w:val="none" w:sz="0" w:space="0" w:color="auto"/>
            <w:right w:val="none" w:sz="0" w:space="0" w:color="auto"/>
          </w:divBdr>
        </w:div>
        <w:div w:id="580260609">
          <w:marLeft w:val="0"/>
          <w:marRight w:val="0"/>
          <w:marTop w:val="0"/>
          <w:marBottom w:val="0"/>
          <w:divBdr>
            <w:top w:val="none" w:sz="0" w:space="0" w:color="auto"/>
            <w:left w:val="none" w:sz="0" w:space="0" w:color="auto"/>
            <w:bottom w:val="none" w:sz="0" w:space="0" w:color="auto"/>
            <w:right w:val="none" w:sz="0" w:space="0" w:color="auto"/>
          </w:divBdr>
        </w:div>
        <w:div w:id="338311969">
          <w:marLeft w:val="0"/>
          <w:marRight w:val="0"/>
          <w:marTop w:val="0"/>
          <w:marBottom w:val="0"/>
          <w:divBdr>
            <w:top w:val="none" w:sz="0" w:space="0" w:color="auto"/>
            <w:left w:val="none" w:sz="0" w:space="0" w:color="auto"/>
            <w:bottom w:val="none" w:sz="0" w:space="0" w:color="auto"/>
            <w:right w:val="none" w:sz="0" w:space="0" w:color="auto"/>
          </w:divBdr>
        </w:div>
        <w:div w:id="1785464468">
          <w:marLeft w:val="0"/>
          <w:marRight w:val="0"/>
          <w:marTop w:val="0"/>
          <w:marBottom w:val="0"/>
          <w:divBdr>
            <w:top w:val="none" w:sz="0" w:space="0" w:color="auto"/>
            <w:left w:val="none" w:sz="0" w:space="0" w:color="auto"/>
            <w:bottom w:val="none" w:sz="0" w:space="0" w:color="auto"/>
            <w:right w:val="none" w:sz="0" w:space="0" w:color="auto"/>
          </w:divBdr>
        </w:div>
        <w:div w:id="1416824374">
          <w:marLeft w:val="0"/>
          <w:marRight w:val="0"/>
          <w:marTop w:val="0"/>
          <w:marBottom w:val="0"/>
          <w:divBdr>
            <w:top w:val="none" w:sz="0" w:space="0" w:color="auto"/>
            <w:left w:val="none" w:sz="0" w:space="0" w:color="auto"/>
            <w:bottom w:val="none" w:sz="0" w:space="0" w:color="auto"/>
            <w:right w:val="none" w:sz="0" w:space="0" w:color="auto"/>
          </w:divBdr>
        </w:div>
        <w:div w:id="1359741177">
          <w:marLeft w:val="0"/>
          <w:marRight w:val="0"/>
          <w:marTop w:val="0"/>
          <w:marBottom w:val="0"/>
          <w:divBdr>
            <w:top w:val="none" w:sz="0" w:space="0" w:color="auto"/>
            <w:left w:val="none" w:sz="0" w:space="0" w:color="auto"/>
            <w:bottom w:val="none" w:sz="0" w:space="0" w:color="auto"/>
            <w:right w:val="none" w:sz="0" w:space="0" w:color="auto"/>
          </w:divBdr>
        </w:div>
        <w:div w:id="1313411687">
          <w:marLeft w:val="0"/>
          <w:marRight w:val="0"/>
          <w:marTop w:val="0"/>
          <w:marBottom w:val="0"/>
          <w:divBdr>
            <w:top w:val="none" w:sz="0" w:space="0" w:color="auto"/>
            <w:left w:val="none" w:sz="0" w:space="0" w:color="auto"/>
            <w:bottom w:val="none" w:sz="0" w:space="0" w:color="auto"/>
            <w:right w:val="none" w:sz="0" w:space="0" w:color="auto"/>
          </w:divBdr>
        </w:div>
        <w:div w:id="15796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2020-04-26T11:46:00Z</dcterms:created>
  <dcterms:modified xsi:type="dcterms:W3CDTF">2020-04-26T11:47:00Z</dcterms:modified>
</cp:coreProperties>
</file>