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320" w:rsidRPr="004A4320" w:rsidRDefault="004A4320" w:rsidP="004A4320">
      <w:pPr>
        <w:jc w:val="center"/>
        <w:rPr>
          <w:sz w:val="32"/>
          <w:szCs w:val="32"/>
        </w:rPr>
      </w:pPr>
      <w:bookmarkStart w:id="0" w:name="Anchor1"/>
      <w:bookmarkStart w:id="1" w:name="_Toc129484263"/>
      <w:bookmarkEnd w:id="0"/>
      <w:bookmarkEnd w:id="1"/>
      <w:r w:rsidRPr="004A4320">
        <w:rPr>
          <w:sz w:val="32"/>
          <w:szCs w:val="32"/>
          <w:rtl/>
        </w:rPr>
        <w:t>الطعن رقم 1511/20</w:t>
      </w:r>
      <w:bookmarkStart w:id="2" w:name="_GoBack"/>
      <w:bookmarkEnd w:id="2"/>
      <w:r w:rsidRPr="004A4320">
        <w:rPr>
          <w:sz w:val="32"/>
          <w:szCs w:val="32"/>
          <w:rtl/>
        </w:rPr>
        <w:t>12</w:t>
      </w:r>
    </w:p>
    <w:p w:rsidR="004A4320" w:rsidRPr="004A4320" w:rsidRDefault="004A4320" w:rsidP="004A4320">
      <w:pPr>
        <w:rPr>
          <w:sz w:val="32"/>
          <w:szCs w:val="32"/>
        </w:rPr>
      </w:pPr>
      <w:bookmarkStart w:id="3" w:name="Anchor6"/>
      <w:bookmarkEnd w:id="3"/>
      <w:r w:rsidRPr="004A4320">
        <w:rPr>
          <w:sz w:val="32"/>
          <w:szCs w:val="32"/>
          <w:rtl/>
        </w:rPr>
        <w:t>هيئة المحكمة</w:t>
      </w:r>
      <w:r w:rsidRPr="004A4320">
        <w:rPr>
          <w:sz w:val="32"/>
          <w:szCs w:val="32"/>
        </w:rPr>
        <w:t xml:space="preserve">: </w:t>
      </w:r>
      <w:r w:rsidRPr="004A4320">
        <w:rPr>
          <w:sz w:val="32"/>
          <w:szCs w:val="32"/>
          <w:rtl/>
        </w:rPr>
        <w:t>برئاسة السيد المستشار خالد المزيني وكيل المحكمة وعضوية السادة المستشارين ممدوح القزاز وصلاح الدين كامل وأمين طموم وأحمد ابو ضيف</w:t>
      </w:r>
    </w:p>
    <w:bookmarkStart w:id="4" w:name="Anchor26"/>
    <w:bookmarkEnd w:id="4"/>
    <w:p w:rsidR="004A4320" w:rsidRPr="004A4320" w:rsidRDefault="004A4320" w:rsidP="004A4320">
      <w:pPr>
        <w:rPr>
          <w:sz w:val="32"/>
          <w:szCs w:val="32"/>
        </w:rPr>
      </w:pPr>
      <w:r w:rsidRPr="004A4320">
        <w:rPr>
          <w:sz w:val="32"/>
          <w:szCs w:val="32"/>
        </w:rPr>
        <w:fldChar w:fldCharType="begin"/>
      </w:r>
      <w:r w:rsidRPr="004A4320">
        <w:rPr>
          <w:sz w:val="32"/>
          <w:szCs w:val="32"/>
        </w:rPr>
        <w:instrText xml:space="preserve"> HYPERLINK "http://www.law.gov.kw/KWT_CC-Ar/00_2014/00_%D8%A7%D9%84%D8%AF%D8%A7%D8%A6%D8%B1%D8%A9%20%D8%A7%D9%84%D8%AA%D8%AC%D8%A7%D8%B1%D9%8A%D8%A9/KWT-CC-Ar_2014-02-13_01511_Taan.html" \l "TM2014_1511_1" </w:instrText>
      </w:r>
      <w:r w:rsidRPr="004A4320">
        <w:rPr>
          <w:sz w:val="32"/>
          <w:szCs w:val="32"/>
        </w:rPr>
        <w:fldChar w:fldCharType="separate"/>
      </w:r>
      <w:r w:rsidRPr="004A4320">
        <w:rPr>
          <w:rStyle w:val="Hyperlink"/>
          <w:sz w:val="32"/>
          <w:szCs w:val="32"/>
        </w:rPr>
        <w:t xml:space="preserve">1- </w:t>
      </w:r>
      <w:r w:rsidRPr="004A4320">
        <w:rPr>
          <w:rStyle w:val="Hyperlink"/>
          <w:sz w:val="32"/>
          <w:szCs w:val="32"/>
          <w:rtl/>
        </w:rPr>
        <w:t>ان مبدأ التقاضي على درجتين هو من المبادىء الأساسية للنظام القضائي المتعلق بالنظام العام التي لا يجوز مخالفتها كما لا يجوز للخصوم التنازل عنها</w:t>
      </w:r>
      <w:r w:rsidRPr="004A4320">
        <w:rPr>
          <w:rStyle w:val="Hyperlink"/>
          <w:sz w:val="32"/>
          <w:szCs w:val="32"/>
        </w:rPr>
        <w:t>.</w:t>
      </w:r>
      <w:r w:rsidRPr="004A4320">
        <w:rPr>
          <w:sz w:val="32"/>
          <w:szCs w:val="32"/>
        </w:rPr>
        <w:fldChar w:fldCharType="end"/>
      </w:r>
      <w:r w:rsidRPr="004A4320">
        <w:rPr>
          <w:sz w:val="32"/>
          <w:szCs w:val="32"/>
        </w:rPr>
        <w:br/>
      </w:r>
      <w:r w:rsidRPr="004A4320">
        <w:rPr>
          <w:sz w:val="32"/>
          <w:szCs w:val="32"/>
        </w:rPr>
        <w:br/>
      </w:r>
      <w:r w:rsidRPr="004A4320">
        <w:rPr>
          <w:sz w:val="32"/>
          <w:szCs w:val="32"/>
          <w:u w:val="single"/>
          <w:rtl/>
        </w:rPr>
        <w:t>ملاحظة</w:t>
      </w:r>
      <w:r w:rsidRPr="004A4320">
        <w:rPr>
          <w:sz w:val="32"/>
          <w:szCs w:val="32"/>
          <w:u w:val="single"/>
        </w:rPr>
        <w:t xml:space="preserve"> :</w:t>
      </w:r>
      <w:r w:rsidRPr="004A4320">
        <w:rPr>
          <w:sz w:val="32"/>
          <w:szCs w:val="32"/>
        </w:rPr>
        <w:br/>
      </w:r>
      <w:r w:rsidRPr="004A4320">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4A4320" w:rsidRPr="004A4320" w:rsidRDefault="004A4320" w:rsidP="004A4320">
      <w:pPr>
        <w:rPr>
          <w:sz w:val="32"/>
          <w:szCs w:val="32"/>
        </w:rPr>
      </w:pPr>
      <w:bookmarkStart w:id="5" w:name="Anchor43"/>
      <w:bookmarkEnd w:id="5"/>
      <w:r w:rsidRPr="004A4320">
        <w:rPr>
          <w:b/>
          <w:bCs/>
          <w:sz w:val="32"/>
          <w:szCs w:val="32"/>
          <w:rtl/>
        </w:rPr>
        <w:t>المحكمة</w:t>
      </w:r>
    </w:p>
    <w:p w:rsidR="004A4320" w:rsidRPr="004A4320" w:rsidRDefault="004A4320" w:rsidP="004A4320">
      <w:pPr>
        <w:rPr>
          <w:sz w:val="32"/>
          <w:szCs w:val="32"/>
        </w:rPr>
      </w:pPr>
      <w:bookmarkStart w:id="6" w:name="Anchor44"/>
      <w:bookmarkEnd w:id="6"/>
      <w:r w:rsidRPr="004A4320">
        <w:rPr>
          <w:sz w:val="32"/>
          <w:szCs w:val="32"/>
          <w:rtl/>
        </w:rPr>
        <w:t>بعد الاطلاع على الأوراق ، وسماع المرافعة، والمداولة</w:t>
      </w:r>
      <w:r w:rsidRPr="004A4320">
        <w:rPr>
          <w:sz w:val="32"/>
          <w:szCs w:val="32"/>
        </w:rPr>
        <w:t>.</w:t>
      </w:r>
    </w:p>
    <w:p w:rsidR="004A4320" w:rsidRPr="004A4320" w:rsidRDefault="004A4320" w:rsidP="004A4320">
      <w:pPr>
        <w:rPr>
          <w:sz w:val="32"/>
          <w:szCs w:val="32"/>
        </w:rPr>
      </w:pPr>
      <w:bookmarkStart w:id="7" w:name="Anchor51"/>
      <w:bookmarkEnd w:id="7"/>
      <w:r w:rsidRPr="004A4320">
        <w:rPr>
          <w:sz w:val="32"/>
          <w:szCs w:val="32"/>
          <w:rtl/>
        </w:rPr>
        <w:t>حيث إن الطعن إستوفى أوضاعه الشكلية</w:t>
      </w:r>
    </w:p>
    <w:p w:rsidR="004A4320" w:rsidRPr="004A4320" w:rsidRDefault="004A4320" w:rsidP="004A4320">
      <w:pPr>
        <w:rPr>
          <w:sz w:val="32"/>
          <w:szCs w:val="32"/>
        </w:rPr>
      </w:pPr>
      <w:bookmarkStart w:id="8" w:name="Anchor56"/>
      <w:bookmarkEnd w:id="8"/>
      <w:r w:rsidRPr="004A4320">
        <w:rPr>
          <w:sz w:val="32"/>
          <w:szCs w:val="32"/>
          <w:rtl/>
        </w:rPr>
        <w:t xml:space="preserve">وحيث إن الوقائع </w:t>
      </w:r>
      <w:r w:rsidRPr="004A4320">
        <w:rPr>
          <w:sz w:val="32"/>
          <w:szCs w:val="32"/>
        </w:rPr>
        <w:t xml:space="preserve">– </w:t>
      </w:r>
      <w:r w:rsidRPr="004A4320">
        <w:rPr>
          <w:sz w:val="32"/>
          <w:szCs w:val="32"/>
          <w:rtl/>
        </w:rPr>
        <w:t xml:space="preserve">على ما يبين من الحكم المطعون فيه وسائر الأوراق </w:t>
      </w:r>
      <w:r w:rsidRPr="004A4320">
        <w:rPr>
          <w:sz w:val="32"/>
          <w:szCs w:val="32"/>
        </w:rPr>
        <w:t xml:space="preserve">– </w:t>
      </w:r>
      <w:r w:rsidRPr="004A4320">
        <w:rPr>
          <w:sz w:val="32"/>
          <w:szCs w:val="32"/>
          <w:rtl/>
        </w:rPr>
        <w:t xml:space="preserve">تتحصل في أن المطعون ضدها الأولى استصدرت بتاريخ 2010/6/30 أمر الأداء رقم 2653 لسنة 2010 بإلزام الطاعن </w:t>
      </w:r>
      <w:r w:rsidRPr="004A4320">
        <w:rPr>
          <w:sz w:val="32"/>
          <w:szCs w:val="32"/>
        </w:rPr>
        <w:t xml:space="preserve">– </w:t>
      </w:r>
      <w:r w:rsidRPr="004A4320">
        <w:rPr>
          <w:sz w:val="32"/>
          <w:szCs w:val="32"/>
          <w:rtl/>
        </w:rPr>
        <w:t xml:space="preserve">وآخر غير مختصم في الدعوى </w:t>
      </w:r>
      <w:r w:rsidRPr="004A4320">
        <w:rPr>
          <w:sz w:val="32"/>
          <w:szCs w:val="32"/>
        </w:rPr>
        <w:t xml:space="preserve">– </w:t>
      </w:r>
      <w:r w:rsidRPr="004A4320">
        <w:rPr>
          <w:sz w:val="32"/>
          <w:szCs w:val="32"/>
          <w:rtl/>
        </w:rPr>
        <w:t>أن يؤدى إليها مبلغ 9204 د.ك فتظلم من هذا الأمر وقيد التظلم برقم 2379 لسنة 2011 تجاري كلي. قضت المحكمة بعدم قبول التظلم لرفعه بعد الميعاد بحكم استأنفه الطاعن بالإستئناف رقم 4257 لسنة 2011 تجاري، وبتاريخ 2012/6/18 حكمت المحكمة بإلغاء الحكم المستأنف وبقبول التظلم شكلاً وفي الموضوع بإلزام الطاعن بأن يؤدى إلى المطعون ضدها الأولى مبلغ 9204 د.ك طعن الطاعن في هذا الحكم بطريق التمييز، وأودعت النيابة مذكرة أبدت فيها الرأي بتمييز الحكم المطعون فيه، وإذ عرض الطعن على هذه المحكمة في غرفة المشورة حددت جلسة لنظره وفيها إلتزمت النيابة رأيها</w:t>
      </w:r>
      <w:r w:rsidRPr="004A4320">
        <w:rPr>
          <w:sz w:val="32"/>
          <w:szCs w:val="32"/>
        </w:rPr>
        <w:t>.</w:t>
      </w:r>
    </w:p>
    <w:p w:rsidR="004A4320" w:rsidRPr="004A4320" w:rsidRDefault="004A4320" w:rsidP="004A4320">
      <w:pPr>
        <w:rPr>
          <w:sz w:val="32"/>
          <w:szCs w:val="32"/>
        </w:rPr>
      </w:pPr>
      <w:bookmarkStart w:id="9" w:name="Anchor125"/>
      <w:bookmarkEnd w:id="9"/>
      <w:r w:rsidRPr="004A4320">
        <w:rPr>
          <w:sz w:val="32"/>
          <w:szCs w:val="32"/>
          <w:rtl/>
        </w:rPr>
        <w:t>وحيث إن الطعن أقيم على سببين ينعى بهما الطاعن على الحكم المطعون فيه مخالفة القانون والخطأ في تطبيقه والفساد في الأستدلال</w:t>
      </w:r>
      <w:r w:rsidRPr="004A4320">
        <w:rPr>
          <w:sz w:val="32"/>
          <w:szCs w:val="32"/>
        </w:rPr>
        <w:t xml:space="preserve">. </w:t>
      </w:r>
      <w:r w:rsidRPr="004A4320">
        <w:rPr>
          <w:sz w:val="32"/>
          <w:szCs w:val="32"/>
          <w:rtl/>
        </w:rPr>
        <w:t xml:space="preserve">وفي بيان ذلك أن الحكم إذ إنتهى في قضائه إلى الغاء الحكم المستأنف القاضي بعدم قبول التظلم شكلاً وبقبوله فإن كان يتعين عليه أزاء ذلك الوقوف عند هذا الحد وإحالة الدعوى إلى محكمة أول درجة لتقول كلمتها في الموضوع. إلا أنه قد خالف هذا النظر وتصدى للفصل في الموضوع مما ترتب عليه أنه فوت على الطاعن درجة من درجات التقاضي التي </w:t>
      </w:r>
      <w:r w:rsidRPr="004A4320">
        <w:rPr>
          <w:sz w:val="32"/>
          <w:szCs w:val="32"/>
          <w:rtl/>
        </w:rPr>
        <w:lastRenderedPageBreak/>
        <w:t>تعد من المبادئ الأساسية للنظام القضائي المتعلق بالنظام العام. ومن ثم فإنه يكون معيباً ويستوجب تمييزه</w:t>
      </w:r>
      <w:r w:rsidRPr="004A4320">
        <w:rPr>
          <w:sz w:val="32"/>
          <w:szCs w:val="32"/>
        </w:rPr>
        <w:t>.</w:t>
      </w:r>
    </w:p>
    <w:p w:rsidR="004A4320" w:rsidRPr="004A4320" w:rsidRDefault="004A4320" w:rsidP="004A4320">
      <w:pPr>
        <w:rPr>
          <w:sz w:val="32"/>
          <w:szCs w:val="32"/>
        </w:rPr>
      </w:pPr>
      <w:bookmarkStart w:id="10" w:name="Anchor179"/>
      <w:bookmarkEnd w:id="10"/>
      <w:r w:rsidRPr="004A4320">
        <w:rPr>
          <w:sz w:val="32"/>
          <w:szCs w:val="32"/>
          <w:rtl/>
        </w:rPr>
        <w:t xml:space="preserve">وحيث أن هذا النعي سديد ذلك أن المقرر </w:t>
      </w:r>
      <w:r w:rsidRPr="004A4320">
        <w:rPr>
          <w:sz w:val="32"/>
          <w:szCs w:val="32"/>
        </w:rPr>
        <w:t xml:space="preserve">– </w:t>
      </w:r>
      <w:r w:rsidRPr="004A4320">
        <w:rPr>
          <w:sz w:val="32"/>
          <w:szCs w:val="32"/>
          <w:rtl/>
        </w:rPr>
        <w:t xml:space="preserve">في قضاء هذه المحكمة </w:t>
      </w:r>
      <w:r w:rsidRPr="004A4320">
        <w:rPr>
          <w:sz w:val="32"/>
          <w:szCs w:val="32"/>
        </w:rPr>
        <w:t>–</w:t>
      </w:r>
      <w:bookmarkStart w:id="11" w:name="TM2014_1511_1"/>
      <w:bookmarkEnd w:id="11"/>
      <w:r w:rsidRPr="004A4320">
        <w:rPr>
          <w:b/>
          <w:bCs/>
          <w:sz w:val="32"/>
          <w:szCs w:val="32"/>
          <w:rtl/>
        </w:rPr>
        <w:t>أن مبدأ التقاضي على درجتين من المبادئ الأساسية للنظام القضائي المتعلق بالنظام العام التي لا يجوز مخالفتها كما لا يجوز للخصوم النزول عنها،</w:t>
      </w:r>
      <w:r w:rsidRPr="004A4320">
        <w:rPr>
          <w:sz w:val="32"/>
          <w:szCs w:val="32"/>
          <w:rtl/>
        </w:rPr>
        <w:t xml:space="preserve"> وإنطلاقاً من هذه القاعدة فإنه إذا وقف قضاء محكمة أول درجة عند الفصل في دفع شكلي أو متعلق بالإجراءات دون مساس بالموضوع فإنها لا تكون قد استنفذت ولايتها بشأنه، فإذا ما الغت محكمة الإستئناف حكم أول درجة وقضت برفض الدفع فإنه بجب عليها في هذه الحالة أن تعيد الدعوى إلى تلك المحكمة التي لم تقل كلمتها في موضوعها</w:t>
      </w:r>
      <w:r w:rsidRPr="004A4320">
        <w:rPr>
          <w:sz w:val="32"/>
          <w:szCs w:val="32"/>
        </w:rPr>
        <w:t xml:space="preserve"> . </w:t>
      </w:r>
      <w:r w:rsidRPr="004A4320">
        <w:rPr>
          <w:sz w:val="32"/>
          <w:szCs w:val="32"/>
          <w:rtl/>
        </w:rPr>
        <w:t>لما كان ذلك وكان الثابت من الأوراق أن المطعون ضدها الأولى قد دفعت أمام محكمة أول درجة بعدم قبول التظلم شكلاً لرفعه بعد الميعاد وإنتهت المحكمة إلى قبول هذا الدفع وقضت بعدم قبول التظلم لرفعه بعد الميعاد</w:t>
      </w:r>
      <w:r w:rsidRPr="004A4320">
        <w:rPr>
          <w:sz w:val="32"/>
          <w:szCs w:val="32"/>
        </w:rPr>
        <w:t xml:space="preserve"> . </w:t>
      </w:r>
      <w:r w:rsidRPr="004A4320">
        <w:rPr>
          <w:sz w:val="32"/>
          <w:szCs w:val="32"/>
          <w:rtl/>
        </w:rPr>
        <w:t>وكان الحكم المطعون فيه قد إنتهى في قضاءه إلى أن ميعاد التظلم ما زال مفتوحاً ورتب على ذلك قبوله شكلاً ومن ثم فإنه كان يتعين عليه الوقوف بقضائه عند هذا الحد ويأمر بإعادة الدعوى إلى محكمة أول درجة التي لم تستنفذ ولايتها بقضائها المتقدم المتعلق بشكل التظلم للفصل في الموضوع حتى يُمكن الخصوم من التقاضي على درجتين التي تعد من المبادئ الأساسية للنظام القضائي المتعلقة بالنظام العام. وإذ خالف الحكم المطعون فيه هذا النظر وقضى في موضوع التظلم فإنه يكون قد خالف القانون وأخطأ في تطبيقه بما يوجب تمييزه لهذا السبب</w:t>
      </w:r>
      <w:r w:rsidRPr="004A4320">
        <w:rPr>
          <w:sz w:val="32"/>
          <w:szCs w:val="32"/>
        </w:rPr>
        <w:t>.</w:t>
      </w:r>
    </w:p>
    <w:p w:rsidR="004A4320" w:rsidRPr="004A4320" w:rsidRDefault="004A4320" w:rsidP="004A4320">
      <w:pPr>
        <w:rPr>
          <w:sz w:val="32"/>
          <w:szCs w:val="32"/>
        </w:rPr>
      </w:pPr>
      <w:bookmarkStart w:id="12" w:name="Anchor296"/>
      <w:bookmarkEnd w:id="12"/>
      <w:r w:rsidRPr="004A4320">
        <w:rPr>
          <w:sz w:val="32"/>
          <w:szCs w:val="32"/>
          <w:rtl/>
        </w:rPr>
        <w:t>وحيث إنه عن الإستئناف رقم 4257 لسنة 2011 تجاري ولما تقدم ولما كانت محكمة أول درجة لم تستنفذ ولايتها في نظر موضوع التظلم إذ أن مبدأ التقاضي على درجتين من المبادئ للنظام القضائي فإنه يتعين إعادة الدعوى إلى محكمة أول درجة لتفصل في موضوع التظلم</w:t>
      </w:r>
      <w:r w:rsidRPr="004A4320">
        <w:rPr>
          <w:sz w:val="32"/>
          <w:szCs w:val="32"/>
        </w:rPr>
        <w:t>.</w:t>
      </w:r>
    </w:p>
    <w:p w:rsidR="004A4320" w:rsidRPr="004A4320" w:rsidRDefault="004A4320" w:rsidP="004A4320">
      <w:pPr>
        <w:rPr>
          <w:sz w:val="32"/>
          <w:szCs w:val="32"/>
        </w:rPr>
      </w:pPr>
      <w:bookmarkStart w:id="13" w:name="Anchor319"/>
      <w:bookmarkEnd w:id="13"/>
      <w:r w:rsidRPr="004A4320">
        <w:rPr>
          <w:sz w:val="32"/>
          <w:szCs w:val="32"/>
          <w:rtl/>
        </w:rPr>
        <w:t>لذلك</w:t>
      </w:r>
    </w:p>
    <w:p w:rsidR="004A4320" w:rsidRPr="004A4320" w:rsidRDefault="004A4320" w:rsidP="004A4320">
      <w:pPr>
        <w:rPr>
          <w:sz w:val="32"/>
          <w:szCs w:val="32"/>
        </w:rPr>
      </w:pPr>
      <w:bookmarkStart w:id="14" w:name="Anchor320"/>
      <w:bookmarkEnd w:id="14"/>
      <w:r w:rsidRPr="004A4320">
        <w:rPr>
          <w:sz w:val="32"/>
          <w:szCs w:val="32"/>
          <w:rtl/>
        </w:rPr>
        <w:t>حكمت المحكمة</w:t>
      </w:r>
      <w:r w:rsidRPr="004A4320">
        <w:rPr>
          <w:sz w:val="32"/>
          <w:szCs w:val="32"/>
        </w:rPr>
        <w:t xml:space="preserve"> : </w:t>
      </w:r>
      <w:r w:rsidRPr="004A4320">
        <w:rPr>
          <w:sz w:val="32"/>
          <w:szCs w:val="32"/>
          <w:rtl/>
        </w:rPr>
        <w:t>أولاً</w:t>
      </w:r>
      <w:r w:rsidRPr="004A4320">
        <w:rPr>
          <w:sz w:val="32"/>
          <w:szCs w:val="32"/>
        </w:rPr>
        <w:t xml:space="preserve">: - </w:t>
      </w:r>
      <w:r w:rsidRPr="004A4320">
        <w:rPr>
          <w:sz w:val="32"/>
          <w:szCs w:val="32"/>
          <w:rtl/>
        </w:rPr>
        <w:t>بقبول الطعن شكلاً وفي الموضوع بتمييز الحكم المطعون فيه وألزمت المطعون ضدها الأولى المصروفات وعشرين ديناراً مقابل أتعاب المحاماة</w:t>
      </w:r>
      <w:r w:rsidRPr="004A4320">
        <w:rPr>
          <w:sz w:val="32"/>
          <w:szCs w:val="32"/>
        </w:rPr>
        <w:t>.</w:t>
      </w:r>
    </w:p>
    <w:p w:rsidR="004A4320" w:rsidRPr="004A4320" w:rsidRDefault="004A4320" w:rsidP="004A4320">
      <w:pPr>
        <w:rPr>
          <w:sz w:val="32"/>
          <w:szCs w:val="32"/>
        </w:rPr>
      </w:pPr>
      <w:bookmarkStart w:id="15" w:name="Anchor337"/>
      <w:bookmarkEnd w:id="15"/>
      <w:r w:rsidRPr="004A4320">
        <w:rPr>
          <w:sz w:val="32"/>
          <w:szCs w:val="32"/>
          <w:rtl/>
        </w:rPr>
        <w:t>ثانياً</w:t>
      </w:r>
      <w:r w:rsidRPr="004A4320">
        <w:rPr>
          <w:sz w:val="32"/>
          <w:szCs w:val="32"/>
        </w:rPr>
        <w:t xml:space="preserve">: - </w:t>
      </w:r>
      <w:r w:rsidRPr="004A4320">
        <w:rPr>
          <w:sz w:val="32"/>
          <w:szCs w:val="32"/>
          <w:rtl/>
        </w:rPr>
        <w:t>وفي الإستئناف رقم 4257 لسنة 2011 تجاري بإعادة أوراق الدعوى إلى محكمة أول درجة للحكم في موضوع التظلم وحددت لنظره جلسة 2014/3/27 وألزمت المستأنف ضدها الأولى المصروفات وعشرين ديناراً مقابل أتعاب المحاماة</w:t>
      </w:r>
      <w:r w:rsidRPr="004A4320">
        <w:rPr>
          <w:sz w:val="32"/>
          <w:szCs w:val="32"/>
        </w:rPr>
        <w:t>.</w:t>
      </w:r>
    </w:p>
    <w:p w:rsidR="004A4320" w:rsidRPr="004A4320" w:rsidRDefault="004A4320" w:rsidP="004A4320">
      <w:pPr>
        <w:rPr>
          <w:sz w:val="32"/>
          <w:szCs w:val="32"/>
        </w:rPr>
      </w:pPr>
    </w:p>
    <w:p w:rsidR="004A4320" w:rsidRPr="004A4320" w:rsidRDefault="004A4320" w:rsidP="004A4320">
      <w:pPr>
        <w:rPr>
          <w:sz w:val="32"/>
          <w:szCs w:val="32"/>
        </w:rPr>
      </w:pPr>
      <w:bookmarkStart w:id="16" w:name="Anchor356"/>
      <w:bookmarkEnd w:id="16"/>
      <w:r w:rsidRPr="004A4320">
        <w:rPr>
          <w:sz w:val="32"/>
          <w:szCs w:val="32"/>
        </w:rPr>
        <w:t>* * *</w:t>
      </w:r>
    </w:p>
    <w:p w:rsidR="00D32E0F" w:rsidRPr="004A4320" w:rsidRDefault="00D32E0F">
      <w:pPr>
        <w:rPr>
          <w:sz w:val="32"/>
          <w:szCs w:val="32"/>
        </w:rPr>
      </w:pPr>
    </w:p>
    <w:sectPr w:rsidR="00D32E0F" w:rsidRPr="004A4320"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71"/>
    <w:rsid w:val="0003272B"/>
    <w:rsid w:val="00336071"/>
    <w:rsid w:val="004A4320"/>
    <w:rsid w:val="00D32E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3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43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54324">
      <w:bodyDiv w:val="1"/>
      <w:marLeft w:val="0"/>
      <w:marRight w:val="0"/>
      <w:marTop w:val="0"/>
      <w:marBottom w:val="0"/>
      <w:divBdr>
        <w:top w:val="none" w:sz="0" w:space="0" w:color="auto"/>
        <w:left w:val="none" w:sz="0" w:space="0" w:color="auto"/>
        <w:bottom w:val="none" w:sz="0" w:space="0" w:color="auto"/>
        <w:right w:val="none" w:sz="0" w:space="0" w:color="auto"/>
      </w:divBdr>
      <w:divsChild>
        <w:div w:id="414017116">
          <w:marLeft w:val="0"/>
          <w:marRight w:val="0"/>
          <w:marTop w:val="0"/>
          <w:marBottom w:val="0"/>
          <w:divBdr>
            <w:top w:val="none" w:sz="0" w:space="0" w:color="auto"/>
            <w:left w:val="none" w:sz="0" w:space="0" w:color="auto"/>
            <w:bottom w:val="none" w:sz="0" w:space="0" w:color="auto"/>
            <w:right w:val="none" w:sz="0" w:space="0" w:color="auto"/>
          </w:divBdr>
        </w:div>
        <w:div w:id="131096604">
          <w:marLeft w:val="0"/>
          <w:marRight w:val="0"/>
          <w:marTop w:val="0"/>
          <w:marBottom w:val="0"/>
          <w:divBdr>
            <w:top w:val="none" w:sz="0" w:space="0" w:color="auto"/>
            <w:left w:val="none" w:sz="0" w:space="0" w:color="auto"/>
            <w:bottom w:val="none" w:sz="0" w:space="0" w:color="auto"/>
            <w:right w:val="none" w:sz="0" w:space="0" w:color="auto"/>
          </w:divBdr>
        </w:div>
        <w:div w:id="661078572">
          <w:marLeft w:val="0"/>
          <w:marRight w:val="0"/>
          <w:marTop w:val="0"/>
          <w:marBottom w:val="0"/>
          <w:divBdr>
            <w:top w:val="none" w:sz="0" w:space="0" w:color="auto"/>
            <w:left w:val="none" w:sz="0" w:space="0" w:color="auto"/>
            <w:bottom w:val="none" w:sz="0" w:space="0" w:color="auto"/>
            <w:right w:val="none" w:sz="0" w:space="0" w:color="auto"/>
          </w:divBdr>
        </w:div>
        <w:div w:id="449475553">
          <w:marLeft w:val="0"/>
          <w:marRight w:val="0"/>
          <w:marTop w:val="0"/>
          <w:marBottom w:val="0"/>
          <w:divBdr>
            <w:top w:val="none" w:sz="0" w:space="0" w:color="auto"/>
            <w:left w:val="none" w:sz="0" w:space="0" w:color="auto"/>
            <w:bottom w:val="none" w:sz="0" w:space="0" w:color="auto"/>
            <w:right w:val="none" w:sz="0" w:space="0" w:color="auto"/>
          </w:divBdr>
        </w:div>
        <w:div w:id="903872691">
          <w:marLeft w:val="0"/>
          <w:marRight w:val="0"/>
          <w:marTop w:val="0"/>
          <w:marBottom w:val="0"/>
          <w:divBdr>
            <w:top w:val="none" w:sz="0" w:space="0" w:color="auto"/>
            <w:left w:val="none" w:sz="0" w:space="0" w:color="auto"/>
            <w:bottom w:val="none" w:sz="0" w:space="0" w:color="auto"/>
            <w:right w:val="none" w:sz="0" w:space="0" w:color="auto"/>
          </w:divBdr>
        </w:div>
        <w:div w:id="1260986478">
          <w:marLeft w:val="0"/>
          <w:marRight w:val="0"/>
          <w:marTop w:val="0"/>
          <w:marBottom w:val="0"/>
          <w:divBdr>
            <w:top w:val="none" w:sz="0" w:space="0" w:color="auto"/>
            <w:left w:val="none" w:sz="0" w:space="0" w:color="auto"/>
            <w:bottom w:val="none" w:sz="0" w:space="0" w:color="auto"/>
            <w:right w:val="none" w:sz="0" w:space="0" w:color="auto"/>
          </w:divBdr>
        </w:div>
        <w:div w:id="1021736949">
          <w:marLeft w:val="0"/>
          <w:marRight w:val="0"/>
          <w:marTop w:val="0"/>
          <w:marBottom w:val="0"/>
          <w:divBdr>
            <w:top w:val="none" w:sz="0" w:space="0" w:color="auto"/>
            <w:left w:val="none" w:sz="0" w:space="0" w:color="auto"/>
            <w:bottom w:val="none" w:sz="0" w:space="0" w:color="auto"/>
            <w:right w:val="none" w:sz="0" w:space="0" w:color="auto"/>
          </w:divBdr>
        </w:div>
        <w:div w:id="474686623">
          <w:marLeft w:val="0"/>
          <w:marRight w:val="0"/>
          <w:marTop w:val="0"/>
          <w:marBottom w:val="0"/>
          <w:divBdr>
            <w:top w:val="none" w:sz="0" w:space="0" w:color="auto"/>
            <w:left w:val="none" w:sz="0" w:space="0" w:color="auto"/>
            <w:bottom w:val="none" w:sz="0" w:space="0" w:color="auto"/>
            <w:right w:val="none" w:sz="0" w:space="0" w:color="auto"/>
          </w:divBdr>
        </w:div>
        <w:div w:id="2066639857">
          <w:marLeft w:val="0"/>
          <w:marRight w:val="0"/>
          <w:marTop w:val="0"/>
          <w:marBottom w:val="0"/>
          <w:divBdr>
            <w:top w:val="none" w:sz="0" w:space="0" w:color="auto"/>
            <w:left w:val="none" w:sz="0" w:space="0" w:color="auto"/>
            <w:bottom w:val="none" w:sz="0" w:space="0" w:color="auto"/>
            <w:right w:val="none" w:sz="0" w:space="0" w:color="auto"/>
          </w:divBdr>
        </w:div>
        <w:div w:id="608465693">
          <w:marLeft w:val="0"/>
          <w:marRight w:val="0"/>
          <w:marTop w:val="0"/>
          <w:marBottom w:val="0"/>
          <w:divBdr>
            <w:top w:val="none" w:sz="0" w:space="0" w:color="auto"/>
            <w:left w:val="none" w:sz="0" w:space="0" w:color="auto"/>
            <w:bottom w:val="none" w:sz="0" w:space="0" w:color="auto"/>
            <w:right w:val="none" w:sz="0" w:space="0" w:color="auto"/>
          </w:divBdr>
        </w:div>
        <w:div w:id="1346640206">
          <w:marLeft w:val="0"/>
          <w:marRight w:val="0"/>
          <w:marTop w:val="0"/>
          <w:marBottom w:val="0"/>
          <w:divBdr>
            <w:top w:val="none" w:sz="0" w:space="0" w:color="auto"/>
            <w:left w:val="none" w:sz="0" w:space="0" w:color="auto"/>
            <w:bottom w:val="none" w:sz="0" w:space="0" w:color="auto"/>
            <w:right w:val="none" w:sz="0" w:space="0" w:color="auto"/>
          </w:divBdr>
        </w:div>
        <w:div w:id="1742676403">
          <w:marLeft w:val="0"/>
          <w:marRight w:val="0"/>
          <w:marTop w:val="0"/>
          <w:marBottom w:val="0"/>
          <w:divBdr>
            <w:top w:val="none" w:sz="0" w:space="0" w:color="auto"/>
            <w:left w:val="none" w:sz="0" w:space="0" w:color="auto"/>
            <w:bottom w:val="none" w:sz="0" w:space="0" w:color="auto"/>
            <w:right w:val="none" w:sz="0" w:space="0" w:color="auto"/>
          </w:divBdr>
        </w:div>
        <w:div w:id="1502085820">
          <w:marLeft w:val="0"/>
          <w:marRight w:val="0"/>
          <w:marTop w:val="0"/>
          <w:marBottom w:val="0"/>
          <w:divBdr>
            <w:top w:val="none" w:sz="0" w:space="0" w:color="auto"/>
            <w:left w:val="none" w:sz="0" w:space="0" w:color="auto"/>
            <w:bottom w:val="none" w:sz="0" w:space="0" w:color="auto"/>
            <w:right w:val="none" w:sz="0" w:space="0" w:color="auto"/>
          </w:divBdr>
        </w:div>
        <w:div w:id="1810855631">
          <w:marLeft w:val="0"/>
          <w:marRight w:val="0"/>
          <w:marTop w:val="0"/>
          <w:marBottom w:val="0"/>
          <w:divBdr>
            <w:top w:val="none" w:sz="0" w:space="0" w:color="auto"/>
            <w:left w:val="none" w:sz="0" w:space="0" w:color="auto"/>
            <w:bottom w:val="none" w:sz="0" w:space="0" w:color="auto"/>
            <w:right w:val="none" w:sz="0" w:space="0" w:color="auto"/>
          </w:divBdr>
        </w:div>
      </w:divsChild>
    </w:div>
    <w:div w:id="1986204907">
      <w:bodyDiv w:val="1"/>
      <w:marLeft w:val="0"/>
      <w:marRight w:val="0"/>
      <w:marTop w:val="0"/>
      <w:marBottom w:val="0"/>
      <w:divBdr>
        <w:top w:val="none" w:sz="0" w:space="0" w:color="auto"/>
        <w:left w:val="none" w:sz="0" w:space="0" w:color="auto"/>
        <w:bottom w:val="none" w:sz="0" w:space="0" w:color="auto"/>
        <w:right w:val="none" w:sz="0" w:space="0" w:color="auto"/>
      </w:divBdr>
      <w:divsChild>
        <w:div w:id="1031610232">
          <w:marLeft w:val="0"/>
          <w:marRight w:val="0"/>
          <w:marTop w:val="0"/>
          <w:marBottom w:val="0"/>
          <w:divBdr>
            <w:top w:val="none" w:sz="0" w:space="0" w:color="auto"/>
            <w:left w:val="none" w:sz="0" w:space="0" w:color="auto"/>
            <w:bottom w:val="none" w:sz="0" w:space="0" w:color="auto"/>
            <w:right w:val="none" w:sz="0" w:space="0" w:color="auto"/>
          </w:divBdr>
        </w:div>
        <w:div w:id="1083723698">
          <w:marLeft w:val="0"/>
          <w:marRight w:val="0"/>
          <w:marTop w:val="0"/>
          <w:marBottom w:val="0"/>
          <w:divBdr>
            <w:top w:val="none" w:sz="0" w:space="0" w:color="auto"/>
            <w:left w:val="none" w:sz="0" w:space="0" w:color="auto"/>
            <w:bottom w:val="none" w:sz="0" w:space="0" w:color="auto"/>
            <w:right w:val="none" w:sz="0" w:space="0" w:color="auto"/>
          </w:divBdr>
        </w:div>
        <w:div w:id="73553110">
          <w:marLeft w:val="0"/>
          <w:marRight w:val="0"/>
          <w:marTop w:val="0"/>
          <w:marBottom w:val="0"/>
          <w:divBdr>
            <w:top w:val="none" w:sz="0" w:space="0" w:color="auto"/>
            <w:left w:val="none" w:sz="0" w:space="0" w:color="auto"/>
            <w:bottom w:val="none" w:sz="0" w:space="0" w:color="auto"/>
            <w:right w:val="none" w:sz="0" w:space="0" w:color="auto"/>
          </w:divBdr>
        </w:div>
        <w:div w:id="1076898044">
          <w:marLeft w:val="0"/>
          <w:marRight w:val="0"/>
          <w:marTop w:val="0"/>
          <w:marBottom w:val="0"/>
          <w:divBdr>
            <w:top w:val="none" w:sz="0" w:space="0" w:color="auto"/>
            <w:left w:val="none" w:sz="0" w:space="0" w:color="auto"/>
            <w:bottom w:val="none" w:sz="0" w:space="0" w:color="auto"/>
            <w:right w:val="none" w:sz="0" w:space="0" w:color="auto"/>
          </w:divBdr>
        </w:div>
        <w:div w:id="1437015829">
          <w:marLeft w:val="0"/>
          <w:marRight w:val="0"/>
          <w:marTop w:val="0"/>
          <w:marBottom w:val="0"/>
          <w:divBdr>
            <w:top w:val="none" w:sz="0" w:space="0" w:color="auto"/>
            <w:left w:val="none" w:sz="0" w:space="0" w:color="auto"/>
            <w:bottom w:val="none" w:sz="0" w:space="0" w:color="auto"/>
            <w:right w:val="none" w:sz="0" w:space="0" w:color="auto"/>
          </w:divBdr>
        </w:div>
        <w:div w:id="2099404241">
          <w:marLeft w:val="0"/>
          <w:marRight w:val="0"/>
          <w:marTop w:val="0"/>
          <w:marBottom w:val="0"/>
          <w:divBdr>
            <w:top w:val="none" w:sz="0" w:space="0" w:color="auto"/>
            <w:left w:val="none" w:sz="0" w:space="0" w:color="auto"/>
            <w:bottom w:val="none" w:sz="0" w:space="0" w:color="auto"/>
            <w:right w:val="none" w:sz="0" w:space="0" w:color="auto"/>
          </w:divBdr>
        </w:div>
        <w:div w:id="1106995851">
          <w:marLeft w:val="0"/>
          <w:marRight w:val="0"/>
          <w:marTop w:val="0"/>
          <w:marBottom w:val="0"/>
          <w:divBdr>
            <w:top w:val="none" w:sz="0" w:space="0" w:color="auto"/>
            <w:left w:val="none" w:sz="0" w:space="0" w:color="auto"/>
            <w:bottom w:val="none" w:sz="0" w:space="0" w:color="auto"/>
            <w:right w:val="none" w:sz="0" w:space="0" w:color="auto"/>
          </w:divBdr>
        </w:div>
        <w:div w:id="2014718654">
          <w:marLeft w:val="0"/>
          <w:marRight w:val="0"/>
          <w:marTop w:val="0"/>
          <w:marBottom w:val="0"/>
          <w:divBdr>
            <w:top w:val="none" w:sz="0" w:space="0" w:color="auto"/>
            <w:left w:val="none" w:sz="0" w:space="0" w:color="auto"/>
            <w:bottom w:val="none" w:sz="0" w:space="0" w:color="auto"/>
            <w:right w:val="none" w:sz="0" w:space="0" w:color="auto"/>
          </w:divBdr>
        </w:div>
        <w:div w:id="1174153528">
          <w:marLeft w:val="0"/>
          <w:marRight w:val="0"/>
          <w:marTop w:val="0"/>
          <w:marBottom w:val="0"/>
          <w:divBdr>
            <w:top w:val="none" w:sz="0" w:space="0" w:color="auto"/>
            <w:left w:val="none" w:sz="0" w:space="0" w:color="auto"/>
            <w:bottom w:val="none" w:sz="0" w:space="0" w:color="auto"/>
            <w:right w:val="none" w:sz="0" w:space="0" w:color="auto"/>
          </w:divBdr>
        </w:div>
        <w:div w:id="1295062784">
          <w:marLeft w:val="0"/>
          <w:marRight w:val="0"/>
          <w:marTop w:val="0"/>
          <w:marBottom w:val="0"/>
          <w:divBdr>
            <w:top w:val="none" w:sz="0" w:space="0" w:color="auto"/>
            <w:left w:val="none" w:sz="0" w:space="0" w:color="auto"/>
            <w:bottom w:val="none" w:sz="0" w:space="0" w:color="auto"/>
            <w:right w:val="none" w:sz="0" w:space="0" w:color="auto"/>
          </w:divBdr>
        </w:div>
        <w:div w:id="1873565755">
          <w:marLeft w:val="0"/>
          <w:marRight w:val="0"/>
          <w:marTop w:val="0"/>
          <w:marBottom w:val="0"/>
          <w:divBdr>
            <w:top w:val="none" w:sz="0" w:space="0" w:color="auto"/>
            <w:left w:val="none" w:sz="0" w:space="0" w:color="auto"/>
            <w:bottom w:val="none" w:sz="0" w:space="0" w:color="auto"/>
            <w:right w:val="none" w:sz="0" w:space="0" w:color="auto"/>
          </w:divBdr>
        </w:div>
        <w:div w:id="1823309114">
          <w:marLeft w:val="0"/>
          <w:marRight w:val="0"/>
          <w:marTop w:val="0"/>
          <w:marBottom w:val="0"/>
          <w:divBdr>
            <w:top w:val="none" w:sz="0" w:space="0" w:color="auto"/>
            <w:left w:val="none" w:sz="0" w:space="0" w:color="auto"/>
            <w:bottom w:val="none" w:sz="0" w:space="0" w:color="auto"/>
            <w:right w:val="none" w:sz="0" w:space="0" w:color="auto"/>
          </w:divBdr>
        </w:div>
        <w:div w:id="1373964462">
          <w:marLeft w:val="0"/>
          <w:marRight w:val="0"/>
          <w:marTop w:val="0"/>
          <w:marBottom w:val="0"/>
          <w:divBdr>
            <w:top w:val="none" w:sz="0" w:space="0" w:color="auto"/>
            <w:left w:val="none" w:sz="0" w:space="0" w:color="auto"/>
            <w:bottom w:val="none" w:sz="0" w:space="0" w:color="auto"/>
            <w:right w:val="none" w:sz="0" w:space="0" w:color="auto"/>
          </w:divBdr>
        </w:div>
        <w:div w:id="2068796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2020-04-26T13:21:00Z</dcterms:created>
  <dcterms:modified xsi:type="dcterms:W3CDTF">2020-04-26T13:21:00Z</dcterms:modified>
</cp:coreProperties>
</file>