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792" w:rsidRPr="00745792" w:rsidRDefault="00745792" w:rsidP="00745792">
      <w:pPr>
        <w:jc w:val="center"/>
        <w:rPr>
          <w:sz w:val="32"/>
          <w:szCs w:val="32"/>
        </w:rPr>
      </w:pPr>
      <w:bookmarkStart w:id="0" w:name="Anchor1"/>
      <w:bookmarkEnd w:id="0"/>
      <w:r w:rsidRPr="00745792">
        <w:rPr>
          <w:sz w:val="32"/>
          <w:szCs w:val="32"/>
          <w:rtl/>
        </w:rPr>
        <w:t xml:space="preserve">الطعن رقم </w:t>
      </w:r>
      <w:r w:rsidRPr="00745792">
        <w:rPr>
          <w:sz w:val="32"/>
          <w:szCs w:val="32"/>
        </w:rPr>
        <w:t>1451</w:t>
      </w:r>
      <w:bookmarkStart w:id="1" w:name="_GoBack"/>
      <w:bookmarkEnd w:id="1"/>
      <w:r w:rsidRPr="00745792">
        <w:rPr>
          <w:sz w:val="32"/>
          <w:szCs w:val="32"/>
        </w:rPr>
        <w:t xml:space="preserve"> </w:t>
      </w:r>
      <w:r w:rsidRPr="00745792">
        <w:rPr>
          <w:sz w:val="32"/>
          <w:szCs w:val="32"/>
          <w:rtl/>
        </w:rPr>
        <w:t xml:space="preserve">لسنة </w:t>
      </w:r>
      <w:r w:rsidRPr="00745792">
        <w:rPr>
          <w:sz w:val="32"/>
          <w:szCs w:val="32"/>
        </w:rPr>
        <w:t>2012</w:t>
      </w:r>
    </w:p>
    <w:p w:rsidR="00745792" w:rsidRPr="00745792" w:rsidRDefault="00745792" w:rsidP="00745792">
      <w:pPr>
        <w:rPr>
          <w:sz w:val="32"/>
          <w:szCs w:val="32"/>
        </w:rPr>
      </w:pPr>
      <w:bookmarkStart w:id="2" w:name="Anchor9"/>
      <w:bookmarkEnd w:id="2"/>
      <w:r w:rsidRPr="00745792">
        <w:rPr>
          <w:sz w:val="32"/>
          <w:szCs w:val="32"/>
          <w:rtl/>
        </w:rPr>
        <w:t>هيئة المحكمة</w:t>
      </w:r>
      <w:r w:rsidRPr="00745792">
        <w:rPr>
          <w:sz w:val="32"/>
          <w:szCs w:val="32"/>
        </w:rPr>
        <w:t xml:space="preserve">: </w:t>
      </w:r>
      <w:r w:rsidRPr="00745792">
        <w:rPr>
          <w:sz w:val="32"/>
          <w:szCs w:val="32"/>
          <w:rtl/>
        </w:rPr>
        <w:t>برئاسة السيد المستشار عبدالهادي العطار وكيل المحكمة وعضوية السادة المستشارين يحيى موميه ومحمود عبد اللطيف وناصر مشالي ورمضان عثمان</w:t>
      </w:r>
    </w:p>
    <w:bookmarkStart w:id="3" w:name="Anchor25"/>
    <w:bookmarkEnd w:id="3"/>
    <w:p w:rsidR="00745792" w:rsidRPr="00745792" w:rsidRDefault="00745792" w:rsidP="00745792">
      <w:pPr>
        <w:rPr>
          <w:sz w:val="32"/>
          <w:szCs w:val="32"/>
        </w:rPr>
      </w:pPr>
      <w:r w:rsidRPr="00745792">
        <w:rPr>
          <w:sz w:val="32"/>
          <w:szCs w:val="32"/>
        </w:rPr>
        <w:fldChar w:fldCharType="begin"/>
      </w:r>
      <w:r w:rsidRPr="00745792">
        <w:rPr>
          <w:sz w:val="32"/>
          <w:szCs w:val="32"/>
        </w:rPr>
        <w:instrText xml:space="preserve"> HYPERLINK "http://www.law.gov.kw/KWT_CC-Ar/00_2014/00_%D8%A7%D9%84%D8%AF%D8%A7%D8%A6%D8%B1%D8%A9%20%D8%A7%D9%84%D8%AA%D8%AC%D8%A7%D8%B1%D9%8A%D8%A9/KWT-CC-Ar_2014-04-15_01451_Taan.html" \l "TM2014_1451_1" </w:instrText>
      </w:r>
      <w:r w:rsidRPr="00745792">
        <w:rPr>
          <w:sz w:val="32"/>
          <w:szCs w:val="32"/>
        </w:rPr>
        <w:fldChar w:fldCharType="separate"/>
      </w:r>
      <w:r w:rsidRPr="00745792">
        <w:rPr>
          <w:rStyle w:val="Hyperlink"/>
          <w:sz w:val="32"/>
          <w:szCs w:val="32"/>
        </w:rPr>
        <w:t xml:space="preserve">1 – </w:t>
      </w:r>
      <w:r w:rsidRPr="00745792">
        <w:rPr>
          <w:rStyle w:val="Hyperlink"/>
          <w:sz w:val="32"/>
          <w:szCs w:val="32"/>
          <w:rtl/>
        </w:rPr>
        <w:t>ان البطلان يترتب على ما يكون جسيما من شأنه ان يشكك في تعيين الخصم او في تحديد صفته في الخصومة اما ما لا يبلغ هذا الحد من الجسامة فإنه يترتب عليه البطلان</w:t>
      </w:r>
      <w:r w:rsidRPr="00745792">
        <w:rPr>
          <w:rStyle w:val="Hyperlink"/>
          <w:sz w:val="32"/>
          <w:szCs w:val="32"/>
        </w:rPr>
        <w:t>.</w:t>
      </w:r>
      <w:r w:rsidRPr="00745792">
        <w:rPr>
          <w:sz w:val="32"/>
          <w:szCs w:val="32"/>
        </w:rPr>
        <w:fldChar w:fldCharType="end"/>
      </w:r>
    </w:p>
    <w:bookmarkStart w:id="4" w:name="Anchor40"/>
    <w:bookmarkEnd w:id="4"/>
    <w:p w:rsidR="00745792" w:rsidRPr="00745792" w:rsidRDefault="00745792" w:rsidP="00745792">
      <w:pPr>
        <w:rPr>
          <w:sz w:val="32"/>
          <w:szCs w:val="32"/>
        </w:rPr>
      </w:pPr>
      <w:r w:rsidRPr="00745792">
        <w:rPr>
          <w:sz w:val="32"/>
          <w:szCs w:val="32"/>
        </w:rPr>
        <w:fldChar w:fldCharType="begin"/>
      </w:r>
      <w:r w:rsidRPr="00745792">
        <w:rPr>
          <w:sz w:val="32"/>
          <w:szCs w:val="32"/>
        </w:rPr>
        <w:instrText xml:space="preserve"> HYPERLINK "http://www.law.gov.kw/KWT_CC-Ar/00_2014/00_%D8%A7%D9%84%D8%AF%D8%A7%D8%A6%D8%B1%D8%A9%20%D8%A7%D9%84%D8%AA%D8%AC%D8%A7%D8%B1%D9%8A%D8%A9/KWT-CC-Ar_2014-04-15_01451_Taan.html" \l "TM2014_1451_2" </w:instrText>
      </w:r>
      <w:r w:rsidRPr="00745792">
        <w:rPr>
          <w:sz w:val="32"/>
          <w:szCs w:val="32"/>
        </w:rPr>
        <w:fldChar w:fldCharType="separate"/>
      </w:r>
      <w:r w:rsidRPr="00745792">
        <w:rPr>
          <w:rStyle w:val="Hyperlink"/>
          <w:sz w:val="32"/>
          <w:szCs w:val="32"/>
        </w:rPr>
        <w:t xml:space="preserve">2 – </w:t>
      </w:r>
      <w:r w:rsidRPr="00745792">
        <w:rPr>
          <w:rStyle w:val="Hyperlink"/>
          <w:sz w:val="32"/>
          <w:szCs w:val="32"/>
          <w:rtl/>
        </w:rPr>
        <w:t>ان لمحكمة الموضوع سلطة تحصيل فهم الواقع في الدعوى وتقدير الأدلة وأخذ ما تطمئن اليه منها واطراح ما عداه ومن بينها تقارير الخبرة ولو كانت مقدمة في دعوى أخرى ما دامت قد ضمت للدعوى المنظورة</w:t>
      </w:r>
      <w:r w:rsidRPr="00745792">
        <w:rPr>
          <w:rStyle w:val="Hyperlink"/>
          <w:sz w:val="32"/>
          <w:szCs w:val="32"/>
        </w:rPr>
        <w:t>.</w:t>
      </w:r>
      <w:r w:rsidRPr="00745792">
        <w:rPr>
          <w:sz w:val="32"/>
          <w:szCs w:val="32"/>
        </w:rPr>
        <w:fldChar w:fldCharType="end"/>
      </w:r>
    </w:p>
    <w:bookmarkStart w:id="5" w:name="Anchor59"/>
    <w:bookmarkEnd w:id="5"/>
    <w:p w:rsidR="00745792" w:rsidRPr="00745792" w:rsidRDefault="00745792" w:rsidP="00745792">
      <w:pPr>
        <w:rPr>
          <w:sz w:val="32"/>
          <w:szCs w:val="32"/>
        </w:rPr>
      </w:pPr>
      <w:r w:rsidRPr="00745792">
        <w:rPr>
          <w:sz w:val="32"/>
          <w:szCs w:val="32"/>
        </w:rPr>
        <w:fldChar w:fldCharType="begin"/>
      </w:r>
      <w:r w:rsidRPr="00745792">
        <w:rPr>
          <w:sz w:val="32"/>
          <w:szCs w:val="32"/>
        </w:rPr>
        <w:instrText xml:space="preserve"> HYPERLINK "http://www.law.gov.kw/KWT_CC-Ar/00_2014/00_%D8%A7%D9%84%D8%AF%D8%A7%D8%A6%D8%B1%D8%A9%20%D8%A7%D9%84%D8%AA%D8%AC%D8%A7%D8%B1%D9%8A%D8%A9/KWT-CC-Ar_2014-04-15_01451_Taan.html" \l "TM2014_1451_3" </w:instrText>
      </w:r>
      <w:r w:rsidRPr="00745792">
        <w:rPr>
          <w:sz w:val="32"/>
          <w:szCs w:val="32"/>
        </w:rPr>
        <w:fldChar w:fldCharType="separate"/>
      </w:r>
      <w:r w:rsidRPr="00745792">
        <w:rPr>
          <w:rStyle w:val="Hyperlink"/>
          <w:sz w:val="32"/>
          <w:szCs w:val="32"/>
        </w:rPr>
        <w:t xml:space="preserve">3 – </w:t>
      </w:r>
      <w:r w:rsidRPr="00745792">
        <w:rPr>
          <w:rStyle w:val="Hyperlink"/>
          <w:sz w:val="32"/>
          <w:szCs w:val="32"/>
          <w:rtl/>
        </w:rPr>
        <w:t>ان الحكم المطعون فيه قد اطمئن الى تقرير الخبير المقدم في دعوى أخرى والمبرزة صورته في النزاع والذي خلص الى ان الطاعنين مدينان للمطعون ضده بمبلغ من المال نظير ما قام به من اعمال حسابية للشركات التي يمثلونها</w:t>
      </w:r>
      <w:r w:rsidRPr="00745792">
        <w:rPr>
          <w:rStyle w:val="Hyperlink"/>
          <w:sz w:val="32"/>
          <w:szCs w:val="32"/>
        </w:rPr>
        <w:t>.</w:t>
      </w:r>
      <w:r w:rsidRPr="00745792">
        <w:rPr>
          <w:sz w:val="32"/>
          <w:szCs w:val="32"/>
        </w:rPr>
        <w:fldChar w:fldCharType="end"/>
      </w:r>
      <w:r w:rsidRPr="00745792">
        <w:rPr>
          <w:sz w:val="32"/>
          <w:szCs w:val="32"/>
        </w:rPr>
        <w:br/>
      </w:r>
      <w:r w:rsidRPr="00745792">
        <w:rPr>
          <w:sz w:val="32"/>
          <w:szCs w:val="32"/>
        </w:rPr>
        <w:br/>
      </w:r>
      <w:r w:rsidRPr="00745792">
        <w:rPr>
          <w:sz w:val="32"/>
          <w:szCs w:val="32"/>
          <w:u w:val="single"/>
          <w:rtl/>
        </w:rPr>
        <w:t>ملاحظة</w:t>
      </w:r>
      <w:r w:rsidRPr="00745792">
        <w:rPr>
          <w:sz w:val="32"/>
          <w:szCs w:val="32"/>
          <w:u w:val="single"/>
        </w:rPr>
        <w:t xml:space="preserve"> :</w:t>
      </w:r>
      <w:r w:rsidRPr="00745792">
        <w:rPr>
          <w:sz w:val="32"/>
          <w:szCs w:val="32"/>
        </w:rPr>
        <w:br/>
      </w:r>
      <w:r w:rsidRPr="00745792">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745792" w:rsidRPr="00745792" w:rsidRDefault="00745792" w:rsidP="00745792">
      <w:pPr>
        <w:rPr>
          <w:sz w:val="32"/>
          <w:szCs w:val="32"/>
        </w:rPr>
      </w:pPr>
      <w:bookmarkStart w:id="6" w:name="Anchor80"/>
      <w:bookmarkEnd w:id="6"/>
      <w:r w:rsidRPr="00745792">
        <w:rPr>
          <w:b/>
          <w:bCs/>
          <w:sz w:val="32"/>
          <w:szCs w:val="32"/>
          <w:rtl/>
        </w:rPr>
        <w:t>المحكمة</w:t>
      </w:r>
    </w:p>
    <w:p w:rsidR="00745792" w:rsidRPr="00745792" w:rsidRDefault="00745792" w:rsidP="00745792">
      <w:pPr>
        <w:rPr>
          <w:sz w:val="32"/>
          <w:szCs w:val="32"/>
        </w:rPr>
      </w:pPr>
      <w:bookmarkStart w:id="7" w:name="Anchor81"/>
      <w:bookmarkEnd w:id="7"/>
      <w:r w:rsidRPr="00745792">
        <w:rPr>
          <w:sz w:val="32"/>
          <w:szCs w:val="32"/>
          <w:rtl/>
        </w:rPr>
        <w:t>بعد الاطلاع على الأوراق والمداولة</w:t>
      </w:r>
      <w:r w:rsidRPr="00745792">
        <w:rPr>
          <w:sz w:val="32"/>
          <w:szCs w:val="32"/>
        </w:rPr>
        <w:t>.</w:t>
      </w:r>
    </w:p>
    <w:p w:rsidR="00745792" w:rsidRPr="00745792" w:rsidRDefault="00745792" w:rsidP="00745792">
      <w:pPr>
        <w:rPr>
          <w:sz w:val="32"/>
          <w:szCs w:val="32"/>
        </w:rPr>
      </w:pPr>
      <w:bookmarkStart w:id="8" w:name="Anchor85"/>
      <w:bookmarkStart w:id="9" w:name="TM2014_1451_1"/>
      <w:bookmarkEnd w:id="8"/>
      <w:bookmarkEnd w:id="9"/>
      <w:r w:rsidRPr="00745792">
        <w:rPr>
          <w:b/>
          <w:bCs/>
          <w:sz w:val="32"/>
          <w:szCs w:val="32"/>
          <w:rtl/>
        </w:rPr>
        <w:t>لما كان من المقرر أن البطلان لا يترتب على كل نقص أو خطأ في أسماء الخصوم وصفاتهم بل يقتصر على ما يكون منه جسيماً بأن كان من شأنه أن يشكك في تعيين الخصم أو في تحديد صفته في الخصومة أما ما لا يبلغ هذا الحد من الجسامة فإنه لا يترتب عليه البطلان</w:t>
      </w:r>
      <w:r w:rsidRPr="00745792">
        <w:rPr>
          <w:sz w:val="32"/>
          <w:szCs w:val="32"/>
          <w:rtl/>
        </w:rPr>
        <w:t xml:space="preserve"> وكان الثابت من مدونات الحكم المطعون فيه أنه قد جابه دفع الطاعنين ببطلان صحيفة إفتتاح الدعوى والحكم الابتدائي لعدم تحديد الشركات التي يمثلونها بأن هذه الصحيفة وذلك الحكم قد أوريا أسماء هذه الشركات وحددا نشاطها وهي 1- شركة المرجاح للتجارة العامة والمقاولات 2</w:t>
      </w:r>
      <w:r w:rsidRPr="00745792">
        <w:rPr>
          <w:sz w:val="32"/>
          <w:szCs w:val="32"/>
        </w:rPr>
        <w:t xml:space="preserve">- </w:t>
      </w:r>
      <w:r w:rsidRPr="00745792">
        <w:rPr>
          <w:sz w:val="32"/>
          <w:szCs w:val="32"/>
          <w:rtl/>
        </w:rPr>
        <w:t>شركة كراج المرجاح للسيارات 3</w:t>
      </w:r>
      <w:r w:rsidRPr="00745792">
        <w:rPr>
          <w:sz w:val="32"/>
          <w:szCs w:val="32"/>
        </w:rPr>
        <w:t xml:space="preserve">- </w:t>
      </w:r>
      <w:r w:rsidRPr="00745792">
        <w:rPr>
          <w:sz w:val="32"/>
          <w:szCs w:val="32"/>
          <w:rtl/>
        </w:rPr>
        <w:t>شركة مصنع الومنيوم المرجاح 4</w:t>
      </w:r>
      <w:r w:rsidRPr="00745792">
        <w:rPr>
          <w:sz w:val="32"/>
          <w:szCs w:val="32"/>
        </w:rPr>
        <w:t xml:space="preserve">- </w:t>
      </w:r>
      <w:r w:rsidRPr="00745792">
        <w:rPr>
          <w:sz w:val="32"/>
          <w:szCs w:val="32"/>
          <w:rtl/>
        </w:rPr>
        <w:t xml:space="preserve">شركة سفريات المرجاح وعلى نحو ينتفي معه التجهيل بصفة الطاعنان ويكونا هما المعنيان بالخصومة وكان هذا الاستخلاص من الحكم سائغاً وله أصله الثابت </w:t>
      </w:r>
      <w:r w:rsidRPr="00745792">
        <w:rPr>
          <w:sz w:val="32"/>
          <w:szCs w:val="32"/>
          <w:rtl/>
        </w:rPr>
        <w:lastRenderedPageBreak/>
        <w:t>بالأوراق فإن النعي عليه بما ورد بالسبب الأول من سبب الطعن</w:t>
      </w:r>
      <w:r w:rsidRPr="00745792">
        <w:rPr>
          <w:sz w:val="32"/>
          <w:szCs w:val="32"/>
        </w:rPr>
        <w:t xml:space="preserve">- </w:t>
      </w:r>
      <w:r w:rsidRPr="00745792">
        <w:rPr>
          <w:sz w:val="32"/>
          <w:szCs w:val="32"/>
          <w:rtl/>
        </w:rPr>
        <w:t>بطلان صحيفة الدعوى والحكم الابتدائي لنقص في بيانات الشركات محل المطالبة</w:t>
      </w:r>
      <w:r w:rsidRPr="00745792">
        <w:rPr>
          <w:sz w:val="32"/>
          <w:szCs w:val="32"/>
        </w:rPr>
        <w:t xml:space="preserve">- </w:t>
      </w:r>
      <w:r w:rsidRPr="00745792">
        <w:rPr>
          <w:sz w:val="32"/>
          <w:szCs w:val="32"/>
          <w:rtl/>
        </w:rPr>
        <w:t>يكون على غير أساس</w:t>
      </w:r>
      <w:r w:rsidRPr="00745792">
        <w:rPr>
          <w:sz w:val="32"/>
          <w:szCs w:val="32"/>
        </w:rPr>
        <w:t>.</w:t>
      </w:r>
    </w:p>
    <w:p w:rsidR="00745792" w:rsidRPr="00745792" w:rsidRDefault="00745792" w:rsidP="00745792">
      <w:pPr>
        <w:rPr>
          <w:sz w:val="32"/>
          <w:szCs w:val="32"/>
        </w:rPr>
      </w:pPr>
      <w:bookmarkStart w:id="10" w:name="Anchor163"/>
      <w:bookmarkStart w:id="11" w:name="TM2014_1451_2"/>
      <w:bookmarkEnd w:id="10"/>
      <w:bookmarkEnd w:id="11"/>
      <w:r w:rsidRPr="00745792">
        <w:rPr>
          <w:b/>
          <w:bCs/>
          <w:sz w:val="32"/>
          <w:szCs w:val="32"/>
          <w:rtl/>
        </w:rPr>
        <w:t>ولما كان لمحكمة الموضوع السلطة في تحصيل وفهم الواقع في الدعوى وتقدير ما يقدم إليها من أدلة والأخذ بما تطمئن إليه منها ومن بينها تقارير الخبرة ولو كانت مقدمة في دعوى أخرى مادامت قد ضمت للدعوى المنظورة فصارت ورقة من أوراقها وهي غير ملزمة بإعادة الدعوى إلى الخبرة متى وجدت في أوراقها ما يكفي لتكوين عقيدتها ،</w:t>
      </w:r>
    </w:p>
    <w:p w:rsidR="00745792" w:rsidRPr="00745792" w:rsidRDefault="00745792" w:rsidP="00745792">
      <w:pPr>
        <w:rPr>
          <w:sz w:val="32"/>
          <w:szCs w:val="32"/>
        </w:rPr>
      </w:pPr>
      <w:bookmarkStart w:id="12" w:name="Anchor192"/>
      <w:bookmarkStart w:id="13" w:name="TM2014_1451_3"/>
      <w:bookmarkEnd w:id="12"/>
      <w:bookmarkEnd w:id="13"/>
      <w:r w:rsidRPr="00745792">
        <w:rPr>
          <w:b/>
          <w:bCs/>
          <w:sz w:val="32"/>
          <w:szCs w:val="32"/>
          <w:rtl/>
        </w:rPr>
        <w:t xml:space="preserve">لما كان ذلك وكان الحكم المطعون فيه المكمل للحكم الابتدائي وبما له من سلطة تقديرية في الدعوى قد اطمئن إلى تقرير الخبير المقدم في الدعوى رقم 4014 لسنة 2005 تجاري والمقدم صورته الرسمية في النزاع المرفوع عنه الطعن والذي خلص إلى أن الطاعنين مدينان للمطعون ضده بمبلغ مقداره </w:t>
      </w:r>
      <w:r w:rsidRPr="00745792">
        <w:rPr>
          <w:b/>
          <w:bCs/>
          <w:sz w:val="32"/>
          <w:szCs w:val="32"/>
        </w:rPr>
        <w:t xml:space="preserve">500,12257 </w:t>
      </w:r>
      <w:r w:rsidRPr="00745792">
        <w:rPr>
          <w:b/>
          <w:bCs/>
          <w:sz w:val="32"/>
          <w:szCs w:val="32"/>
          <w:rtl/>
        </w:rPr>
        <w:t>دينار نظير ما قام به من أعمال حسابية للشركات التي يمثلونها واستند الحكم إلى هذا التقرير وخلص إلى انشغال ذمة الطاعنين بهذا المبلغ ورتب على ذلك قضاءه المطعون فيه بأداء المبلغ المقضي به فإنه يكون سائغاً ولا مخالفة فيه للقانون</w:t>
      </w:r>
      <w:r w:rsidRPr="00745792">
        <w:rPr>
          <w:sz w:val="32"/>
          <w:szCs w:val="32"/>
          <w:rtl/>
        </w:rPr>
        <w:t xml:space="preserve"> ويضحى النعي عليه بما ورد بالسبب الثاني من سبب الطعن ومبناه تعييب الحكم في هذا الاستخلاص لا يعدو أن يكون جدلاً فيما لمحكمة الموضوع من سلطة تقديرية تنحسر عنه رقابة محكمة التمييز ويضحى الطعن برمته مقاماً على غير الأسباب المبينة بالمادة 152/1 مرافعات تقرر المحكمة عدم قبوله عملاً بالمادة 154/5 من ذات القانون</w:t>
      </w:r>
      <w:r w:rsidRPr="00745792">
        <w:rPr>
          <w:sz w:val="32"/>
          <w:szCs w:val="32"/>
        </w:rPr>
        <w:t xml:space="preserve">. </w:t>
      </w:r>
    </w:p>
    <w:p w:rsidR="00745792" w:rsidRPr="00745792" w:rsidRDefault="00745792" w:rsidP="00745792">
      <w:pPr>
        <w:rPr>
          <w:sz w:val="32"/>
          <w:szCs w:val="32"/>
        </w:rPr>
      </w:pPr>
      <w:bookmarkStart w:id="14" w:name="Anchor265"/>
      <w:bookmarkEnd w:id="14"/>
      <w:r w:rsidRPr="00745792">
        <w:rPr>
          <w:sz w:val="32"/>
          <w:szCs w:val="32"/>
          <w:rtl/>
        </w:rPr>
        <w:t>لذلك</w:t>
      </w:r>
    </w:p>
    <w:p w:rsidR="00745792" w:rsidRPr="00745792" w:rsidRDefault="00745792" w:rsidP="00745792">
      <w:pPr>
        <w:rPr>
          <w:sz w:val="32"/>
          <w:szCs w:val="32"/>
        </w:rPr>
      </w:pPr>
      <w:bookmarkStart w:id="15" w:name="Anchor266"/>
      <w:bookmarkEnd w:id="15"/>
      <w:r w:rsidRPr="00745792">
        <w:rPr>
          <w:sz w:val="32"/>
          <w:szCs w:val="32"/>
          <w:rtl/>
        </w:rPr>
        <w:t xml:space="preserve">قررت المحكمة </w:t>
      </w:r>
      <w:r w:rsidRPr="00745792">
        <w:rPr>
          <w:sz w:val="32"/>
          <w:szCs w:val="32"/>
        </w:rPr>
        <w:t xml:space="preserve">– </w:t>
      </w:r>
      <w:r w:rsidRPr="00745792">
        <w:rPr>
          <w:sz w:val="32"/>
          <w:szCs w:val="32"/>
          <w:rtl/>
        </w:rPr>
        <w:t>في غرفة المشورة- عدم قبول الطعن وألزمت الطاعنين المصروفات وعشرون ديناراً مقابل أتعاب المحاماة مع مصادرة الكفالة</w:t>
      </w:r>
      <w:r w:rsidRPr="00745792">
        <w:rPr>
          <w:sz w:val="32"/>
          <w:szCs w:val="32"/>
        </w:rPr>
        <w:t xml:space="preserve">. </w:t>
      </w:r>
    </w:p>
    <w:p w:rsidR="00745792" w:rsidRPr="00745792" w:rsidRDefault="00745792" w:rsidP="00745792">
      <w:pPr>
        <w:rPr>
          <w:sz w:val="32"/>
          <w:szCs w:val="32"/>
        </w:rPr>
      </w:pPr>
    </w:p>
    <w:p w:rsidR="00745792" w:rsidRPr="00745792" w:rsidRDefault="00745792" w:rsidP="00745792">
      <w:pPr>
        <w:rPr>
          <w:sz w:val="32"/>
          <w:szCs w:val="32"/>
        </w:rPr>
      </w:pPr>
      <w:bookmarkStart w:id="16" w:name="Anchor281"/>
      <w:bookmarkEnd w:id="16"/>
      <w:r w:rsidRPr="00745792">
        <w:rPr>
          <w:sz w:val="32"/>
          <w:szCs w:val="32"/>
        </w:rPr>
        <w:t>* * *</w:t>
      </w:r>
    </w:p>
    <w:p w:rsidR="00D32E0F" w:rsidRPr="00745792" w:rsidRDefault="00D32E0F">
      <w:pPr>
        <w:rPr>
          <w:sz w:val="32"/>
          <w:szCs w:val="32"/>
        </w:rPr>
      </w:pPr>
    </w:p>
    <w:sectPr w:rsidR="00D32E0F" w:rsidRPr="0074579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B4"/>
    <w:rsid w:val="0003272B"/>
    <w:rsid w:val="00745792"/>
    <w:rsid w:val="008350B4"/>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7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7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69726">
      <w:bodyDiv w:val="1"/>
      <w:marLeft w:val="0"/>
      <w:marRight w:val="0"/>
      <w:marTop w:val="0"/>
      <w:marBottom w:val="0"/>
      <w:divBdr>
        <w:top w:val="none" w:sz="0" w:space="0" w:color="auto"/>
        <w:left w:val="none" w:sz="0" w:space="0" w:color="auto"/>
        <w:bottom w:val="none" w:sz="0" w:space="0" w:color="auto"/>
        <w:right w:val="none" w:sz="0" w:space="0" w:color="auto"/>
      </w:divBdr>
      <w:divsChild>
        <w:div w:id="965046648">
          <w:marLeft w:val="0"/>
          <w:marRight w:val="0"/>
          <w:marTop w:val="0"/>
          <w:marBottom w:val="0"/>
          <w:divBdr>
            <w:top w:val="none" w:sz="0" w:space="0" w:color="auto"/>
            <w:left w:val="none" w:sz="0" w:space="0" w:color="auto"/>
            <w:bottom w:val="none" w:sz="0" w:space="0" w:color="auto"/>
            <w:right w:val="none" w:sz="0" w:space="0" w:color="auto"/>
          </w:divBdr>
        </w:div>
        <w:div w:id="1006907956">
          <w:marLeft w:val="0"/>
          <w:marRight w:val="0"/>
          <w:marTop w:val="0"/>
          <w:marBottom w:val="0"/>
          <w:divBdr>
            <w:top w:val="none" w:sz="0" w:space="0" w:color="auto"/>
            <w:left w:val="none" w:sz="0" w:space="0" w:color="auto"/>
            <w:bottom w:val="none" w:sz="0" w:space="0" w:color="auto"/>
            <w:right w:val="none" w:sz="0" w:space="0" w:color="auto"/>
          </w:divBdr>
        </w:div>
        <w:div w:id="117602699">
          <w:marLeft w:val="0"/>
          <w:marRight w:val="0"/>
          <w:marTop w:val="0"/>
          <w:marBottom w:val="0"/>
          <w:divBdr>
            <w:top w:val="none" w:sz="0" w:space="0" w:color="auto"/>
            <w:left w:val="none" w:sz="0" w:space="0" w:color="auto"/>
            <w:bottom w:val="none" w:sz="0" w:space="0" w:color="auto"/>
            <w:right w:val="none" w:sz="0" w:space="0" w:color="auto"/>
          </w:divBdr>
        </w:div>
        <w:div w:id="1870101200">
          <w:marLeft w:val="0"/>
          <w:marRight w:val="0"/>
          <w:marTop w:val="0"/>
          <w:marBottom w:val="0"/>
          <w:divBdr>
            <w:top w:val="none" w:sz="0" w:space="0" w:color="auto"/>
            <w:left w:val="none" w:sz="0" w:space="0" w:color="auto"/>
            <w:bottom w:val="none" w:sz="0" w:space="0" w:color="auto"/>
            <w:right w:val="none" w:sz="0" w:space="0" w:color="auto"/>
          </w:divBdr>
        </w:div>
        <w:div w:id="626933888">
          <w:marLeft w:val="0"/>
          <w:marRight w:val="0"/>
          <w:marTop w:val="0"/>
          <w:marBottom w:val="0"/>
          <w:divBdr>
            <w:top w:val="none" w:sz="0" w:space="0" w:color="auto"/>
            <w:left w:val="none" w:sz="0" w:space="0" w:color="auto"/>
            <w:bottom w:val="none" w:sz="0" w:space="0" w:color="auto"/>
            <w:right w:val="none" w:sz="0" w:space="0" w:color="auto"/>
          </w:divBdr>
        </w:div>
        <w:div w:id="79914473">
          <w:marLeft w:val="0"/>
          <w:marRight w:val="0"/>
          <w:marTop w:val="0"/>
          <w:marBottom w:val="0"/>
          <w:divBdr>
            <w:top w:val="none" w:sz="0" w:space="0" w:color="auto"/>
            <w:left w:val="none" w:sz="0" w:space="0" w:color="auto"/>
            <w:bottom w:val="none" w:sz="0" w:space="0" w:color="auto"/>
            <w:right w:val="none" w:sz="0" w:space="0" w:color="auto"/>
          </w:divBdr>
        </w:div>
        <w:div w:id="1212034109">
          <w:marLeft w:val="0"/>
          <w:marRight w:val="0"/>
          <w:marTop w:val="0"/>
          <w:marBottom w:val="0"/>
          <w:divBdr>
            <w:top w:val="none" w:sz="0" w:space="0" w:color="auto"/>
            <w:left w:val="none" w:sz="0" w:space="0" w:color="auto"/>
            <w:bottom w:val="none" w:sz="0" w:space="0" w:color="auto"/>
            <w:right w:val="none" w:sz="0" w:space="0" w:color="auto"/>
          </w:divBdr>
        </w:div>
        <w:div w:id="953051935">
          <w:marLeft w:val="0"/>
          <w:marRight w:val="0"/>
          <w:marTop w:val="0"/>
          <w:marBottom w:val="0"/>
          <w:divBdr>
            <w:top w:val="none" w:sz="0" w:space="0" w:color="auto"/>
            <w:left w:val="none" w:sz="0" w:space="0" w:color="auto"/>
            <w:bottom w:val="none" w:sz="0" w:space="0" w:color="auto"/>
            <w:right w:val="none" w:sz="0" w:space="0" w:color="auto"/>
          </w:divBdr>
        </w:div>
        <w:div w:id="728458496">
          <w:marLeft w:val="0"/>
          <w:marRight w:val="0"/>
          <w:marTop w:val="0"/>
          <w:marBottom w:val="0"/>
          <w:divBdr>
            <w:top w:val="none" w:sz="0" w:space="0" w:color="auto"/>
            <w:left w:val="none" w:sz="0" w:space="0" w:color="auto"/>
            <w:bottom w:val="none" w:sz="0" w:space="0" w:color="auto"/>
            <w:right w:val="none" w:sz="0" w:space="0" w:color="auto"/>
          </w:divBdr>
        </w:div>
        <w:div w:id="1658847251">
          <w:marLeft w:val="0"/>
          <w:marRight w:val="0"/>
          <w:marTop w:val="0"/>
          <w:marBottom w:val="0"/>
          <w:divBdr>
            <w:top w:val="none" w:sz="0" w:space="0" w:color="auto"/>
            <w:left w:val="none" w:sz="0" w:space="0" w:color="auto"/>
            <w:bottom w:val="none" w:sz="0" w:space="0" w:color="auto"/>
            <w:right w:val="none" w:sz="0" w:space="0" w:color="auto"/>
          </w:divBdr>
        </w:div>
        <w:div w:id="1400635574">
          <w:marLeft w:val="0"/>
          <w:marRight w:val="0"/>
          <w:marTop w:val="0"/>
          <w:marBottom w:val="0"/>
          <w:divBdr>
            <w:top w:val="none" w:sz="0" w:space="0" w:color="auto"/>
            <w:left w:val="none" w:sz="0" w:space="0" w:color="auto"/>
            <w:bottom w:val="none" w:sz="0" w:space="0" w:color="auto"/>
            <w:right w:val="none" w:sz="0" w:space="0" w:color="auto"/>
          </w:divBdr>
        </w:div>
        <w:div w:id="1043752732">
          <w:marLeft w:val="0"/>
          <w:marRight w:val="0"/>
          <w:marTop w:val="0"/>
          <w:marBottom w:val="0"/>
          <w:divBdr>
            <w:top w:val="none" w:sz="0" w:space="0" w:color="auto"/>
            <w:left w:val="none" w:sz="0" w:space="0" w:color="auto"/>
            <w:bottom w:val="none" w:sz="0" w:space="0" w:color="auto"/>
            <w:right w:val="none" w:sz="0" w:space="0" w:color="auto"/>
          </w:divBdr>
        </w:div>
        <w:div w:id="1155949202">
          <w:marLeft w:val="0"/>
          <w:marRight w:val="0"/>
          <w:marTop w:val="0"/>
          <w:marBottom w:val="0"/>
          <w:divBdr>
            <w:top w:val="none" w:sz="0" w:space="0" w:color="auto"/>
            <w:left w:val="none" w:sz="0" w:space="0" w:color="auto"/>
            <w:bottom w:val="none" w:sz="0" w:space="0" w:color="auto"/>
            <w:right w:val="none" w:sz="0" w:space="0" w:color="auto"/>
          </w:divBdr>
        </w:div>
      </w:divsChild>
    </w:div>
    <w:div w:id="1569195087">
      <w:bodyDiv w:val="1"/>
      <w:marLeft w:val="0"/>
      <w:marRight w:val="0"/>
      <w:marTop w:val="0"/>
      <w:marBottom w:val="0"/>
      <w:divBdr>
        <w:top w:val="none" w:sz="0" w:space="0" w:color="auto"/>
        <w:left w:val="none" w:sz="0" w:space="0" w:color="auto"/>
        <w:bottom w:val="none" w:sz="0" w:space="0" w:color="auto"/>
        <w:right w:val="none" w:sz="0" w:space="0" w:color="auto"/>
      </w:divBdr>
      <w:divsChild>
        <w:div w:id="856433242">
          <w:marLeft w:val="0"/>
          <w:marRight w:val="0"/>
          <w:marTop w:val="0"/>
          <w:marBottom w:val="0"/>
          <w:divBdr>
            <w:top w:val="none" w:sz="0" w:space="0" w:color="auto"/>
            <w:left w:val="none" w:sz="0" w:space="0" w:color="auto"/>
            <w:bottom w:val="none" w:sz="0" w:space="0" w:color="auto"/>
            <w:right w:val="none" w:sz="0" w:space="0" w:color="auto"/>
          </w:divBdr>
        </w:div>
        <w:div w:id="1569534913">
          <w:marLeft w:val="0"/>
          <w:marRight w:val="0"/>
          <w:marTop w:val="0"/>
          <w:marBottom w:val="0"/>
          <w:divBdr>
            <w:top w:val="none" w:sz="0" w:space="0" w:color="auto"/>
            <w:left w:val="none" w:sz="0" w:space="0" w:color="auto"/>
            <w:bottom w:val="none" w:sz="0" w:space="0" w:color="auto"/>
            <w:right w:val="none" w:sz="0" w:space="0" w:color="auto"/>
          </w:divBdr>
        </w:div>
        <w:div w:id="104079737">
          <w:marLeft w:val="0"/>
          <w:marRight w:val="0"/>
          <w:marTop w:val="0"/>
          <w:marBottom w:val="0"/>
          <w:divBdr>
            <w:top w:val="none" w:sz="0" w:space="0" w:color="auto"/>
            <w:left w:val="none" w:sz="0" w:space="0" w:color="auto"/>
            <w:bottom w:val="none" w:sz="0" w:space="0" w:color="auto"/>
            <w:right w:val="none" w:sz="0" w:space="0" w:color="auto"/>
          </w:divBdr>
        </w:div>
        <w:div w:id="1106733098">
          <w:marLeft w:val="0"/>
          <w:marRight w:val="0"/>
          <w:marTop w:val="0"/>
          <w:marBottom w:val="0"/>
          <w:divBdr>
            <w:top w:val="none" w:sz="0" w:space="0" w:color="auto"/>
            <w:left w:val="none" w:sz="0" w:space="0" w:color="auto"/>
            <w:bottom w:val="none" w:sz="0" w:space="0" w:color="auto"/>
            <w:right w:val="none" w:sz="0" w:space="0" w:color="auto"/>
          </w:divBdr>
        </w:div>
        <w:div w:id="866066582">
          <w:marLeft w:val="0"/>
          <w:marRight w:val="0"/>
          <w:marTop w:val="0"/>
          <w:marBottom w:val="0"/>
          <w:divBdr>
            <w:top w:val="none" w:sz="0" w:space="0" w:color="auto"/>
            <w:left w:val="none" w:sz="0" w:space="0" w:color="auto"/>
            <w:bottom w:val="none" w:sz="0" w:space="0" w:color="auto"/>
            <w:right w:val="none" w:sz="0" w:space="0" w:color="auto"/>
          </w:divBdr>
        </w:div>
        <w:div w:id="550657873">
          <w:marLeft w:val="0"/>
          <w:marRight w:val="0"/>
          <w:marTop w:val="0"/>
          <w:marBottom w:val="0"/>
          <w:divBdr>
            <w:top w:val="none" w:sz="0" w:space="0" w:color="auto"/>
            <w:left w:val="none" w:sz="0" w:space="0" w:color="auto"/>
            <w:bottom w:val="none" w:sz="0" w:space="0" w:color="auto"/>
            <w:right w:val="none" w:sz="0" w:space="0" w:color="auto"/>
          </w:divBdr>
        </w:div>
        <w:div w:id="1043477144">
          <w:marLeft w:val="0"/>
          <w:marRight w:val="0"/>
          <w:marTop w:val="0"/>
          <w:marBottom w:val="0"/>
          <w:divBdr>
            <w:top w:val="none" w:sz="0" w:space="0" w:color="auto"/>
            <w:left w:val="none" w:sz="0" w:space="0" w:color="auto"/>
            <w:bottom w:val="none" w:sz="0" w:space="0" w:color="auto"/>
            <w:right w:val="none" w:sz="0" w:space="0" w:color="auto"/>
          </w:divBdr>
        </w:div>
        <w:div w:id="335883353">
          <w:marLeft w:val="0"/>
          <w:marRight w:val="0"/>
          <w:marTop w:val="0"/>
          <w:marBottom w:val="0"/>
          <w:divBdr>
            <w:top w:val="none" w:sz="0" w:space="0" w:color="auto"/>
            <w:left w:val="none" w:sz="0" w:space="0" w:color="auto"/>
            <w:bottom w:val="none" w:sz="0" w:space="0" w:color="auto"/>
            <w:right w:val="none" w:sz="0" w:space="0" w:color="auto"/>
          </w:divBdr>
        </w:div>
        <w:div w:id="1839348683">
          <w:marLeft w:val="0"/>
          <w:marRight w:val="0"/>
          <w:marTop w:val="0"/>
          <w:marBottom w:val="0"/>
          <w:divBdr>
            <w:top w:val="none" w:sz="0" w:space="0" w:color="auto"/>
            <w:left w:val="none" w:sz="0" w:space="0" w:color="auto"/>
            <w:bottom w:val="none" w:sz="0" w:space="0" w:color="auto"/>
            <w:right w:val="none" w:sz="0" w:space="0" w:color="auto"/>
          </w:divBdr>
        </w:div>
        <w:div w:id="57025054">
          <w:marLeft w:val="0"/>
          <w:marRight w:val="0"/>
          <w:marTop w:val="0"/>
          <w:marBottom w:val="0"/>
          <w:divBdr>
            <w:top w:val="none" w:sz="0" w:space="0" w:color="auto"/>
            <w:left w:val="none" w:sz="0" w:space="0" w:color="auto"/>
            <w:bottom w:val="none" w:sz="0" w:space="0" w:color="auto"/>
            <w:right w:val="none" w:sz="0" w:space="0" w:color="auto"/>
          </w:divBdr>
        </w:div>
        <w:div w:id="1747067373">
          <w:marLeft w:val="0"/>
          <w:marRight w:val="0"/>
          <w:marTop w:val="0"/>
          <w:marBottom w:val="0"/>
          <w:divBdr>
            <w:top w:val="none" w:sz="0" w:space="0" w:color="auto"/>
            <w:left w:val="none" w:sz="0" w:space="0" w:color="auto"/>
            <w:bottom w:val="none" w:sz="0" w:space="0" w:color="auto"/>
            <w:right w:val="none" w:sz="0" w:space="0" w:color="auto"/>
          </w:divBdr>
        </w:div>
        <w:div w:id="160437086">
          <w:marLeft w:val="0"/>
          <w:marRight w:val="0"/>
          <w:marTop w:val="0"/>
          <w:marBottom w:val="0"/>
          <w:divBdr>
            <w:top w:val="none" w:sz="0" w:space="0" w:color="auto"/>
            <w:left w:val="none" w:sz="0" w:space="0" w:color="auto"/>
            <w:bottom w:val="none" w:sz="0" w:space="0" w:color="auto"/>
            <w:right w:val="none" w:sz="0" w:space="0" w:color="auto"/>
          </w:divBdr>
        </w:div>
        <w:div w:id="247468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2020-04-26T13:10:00Z</dcterms:created>
  <dcterms:modified xsi:type="dcterms:W3CDTF">2020-04-26T13:10:00Z</dcterms:modified>
</cp:coreProperties>
</file>