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AA" w:rsidRPr="00D125AA" w:rsidRDefault="00D125AA" w:rsidP="00D125AA">
      <w:pPr>
        <w:jc w:val="center"/>
        <w:rPr>
          <w:sz w:val="32"/>
          <w:szCs w:val="32"/>
        </w:rPr>
      </w:pPr>
      <w:bookmarkStart w:id="0" w:name="Anchor1"/>
      <w:bookmarkEnd w:id="0"/>
      <w:r w:rsidRPr="00D125AA">
        <w:rPr>
          <w:sz w:val="32"/>
          <w:szCs w:val="32"/>
          <w:rtl/>
        </w:rPr>
        <w:t>الطعن رقم 1580/2</w:t>
      </w:r>
      <w:bookmarkStart w:id="1" w:name="_GoBack"/>
      <w:bookmarkEnd w:id="1"/>
      <w:r w:rsidRPr="00D125AA">
        <w:rPr>
          <w:sz w:val="32"/>
          <w:szCs w:val="32"/>
          <w:rtl/>
        </w:rPr>
        <w:t>012</w:t>
      </w:r>
    </w:p>
    <w:p w:rsidR="00D125AA" w:rsidRPr="00D125AA" w:rsidRDefault="00D125AA" w:rsidP="00D125AA">
      <w:pPr>
        <w:rPr>
          <w:sz w:val="32"/>
          <w:szCs w:val="32"/>
        </w:rPr>
      </w:pPr>
      <w:bookmarkStart w:id="2" w:name="Anchor6"/>
      <w:bookmarkEnd w:id="2"/>
      <w:r w:rsidRPr="00D125AA">
        <w:rPr>
          <w:sz w:val="32"/>
          <w:szCs w:val="32"/>
          <w:rtl/>
        </w:rPr>
        <w:t>هيئة المحكمة</w:t>
      </w:r>
      <w:r w:rsidRPr="00D125AA">
        <w:rPr>
          <w:sz w:val="32"/>
          <w:szCs w:val="32"/>
        </w:rPr>
        <w:t xml:space="preserve">: </w:t>
      </w:r>
      <w:r w:rsidRPr="00D125AA">
        <w:rPr>
          <w:sz w:val="32"/>
          <w:szCs w:val="32"/>
          <w:rtl/>
        </w:rPr>
        <w:t>برئاسة السيد المستشار عبدالعزيز الفهد وكيل المحكمة وعضوية السادة المستشارين يوسف العمران ومصطفى ثابت وعبدالرحمن مطاوع وعطية النادي</w:t>
      </w:r>
    </w:p>
    <w:bookmarkStart w:id="3" w:name="Anchor21"/>
    <w:bookmarkEnd w:id="3"/>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"TM2014_1580_1" </w:instrText>
      </w:r>
      <w:r w:rsidRPr="00D125AA">
        <w:rPr>
          <w:sz w:val="32"/>
          <w:szCs w:val="32"/>
        </w:rPr>
        <w:fldChar w:fldCharType="separate"/>
      </w:r>
      <w:r w:rsidRPr="00D125AA">
        <w:rPr>
          <w:rStyle w:val="Hyperlink"/>
          <w:sz w:val="32"/>
          <w:szCs w:val="32"/>
        </w:rPr>
        <w:t xml:space="preserve">1- </w:t>
      </w:r>
      <w:r w:rsidRPr="00D125AA">
        <w:rPr>
          <w:rStyle w:val="Hyperlink"/>
          <w:sz w:val="32"/>
          <w:szCs w:val="32"/>
          <w:rtl/>
        </w:rPr>
        <w:t>إن الدعاوى الناشئة عن الكمبيالة تتقادم بمضي ثلاث سنوات من تاريخ إستحقاقها وعلى المدعى عليه رغم إنقضاء مدة التقادم أن يحلف اليمين ببراءة ذمته من ذلك الدين في حال مطالبته بحلف اليمين</w:t>
      </w:r>
      <w:r w:rsidRPr="00D125AA">
        <w:rPr>
          <w:rStyle w:val="Hyperlink"/>
          <w:sz w:val="32"/>
          <w:szCs w:val="32"/>
        </w:rPr>
        <w:t>.</w:t>
      </w:r>
      <w:r w:rsidRPr="00D125AA">
        <w:rPr>
          <w:sz w:val="32"/>
          <w:szCs w:val="32"/>
        </w:rPr>
        <w:fldChar w:fldCharType="end"/>
      </w:r>
    </w:p>
    <w:bookmarkStart w:id="4" w:name="Anchor40"/>
    <w:bookmarkEnd w:id="4"/>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"TM2014_1580_2" </w:instrText>
      </w:r>
      <w:r w:rsidRPr="00D125AA">
        <w:rPr>
          <w:sz w:val="32"/>
          <w:szCs w:val="32"/>
        </w:rPr>
        <w:fldChar w:fldCharType="separate"/>
      </w:r>
      <w:r w:rsidRPr="00D125AA">
        <w:rPr>
          <w:rStyle w:val="Hyperlink"/>
          <w:sz w:val="32"/>
          <w:szCs w:val="32"/>
        </w:rPr>
        <w:t xml:space="preserve">2- </w:t>
      </w:r>
      <w:r w:rsidRPr="00D125AA">
        <w:rPr>
          <w:rStyle w:val="Hyperlink"/>
          <w:sz w:val="32"/>
          <w:szCs w:val="32"/>
          <w:rtl/>
        </w:rPr>
        <w:t>إن التقادم الصرفي يقوم على قرينة الوفاء بالدين</w:t>
      </w:r>
      <w:r w:rsidRPr="00D125AA">
        <w:rPr>
          <w:rStyle w:val="Hyperlink"/>
          <w:sz w:val="32"/>
          <w:szCs w:val="32"/>
        </w:rPr>
        <w:t>.</w:t>
      </w:r>
      <w:r w:rsidRPr="00D125AA">
        <w:rPr>
          <w:sz w:val="32"/>
          <w:szCs w:val="32"/>
        </w:rPr>
        <w:fldChar w:fldCharType="end"/>
      </w:r>
    </w:p>
    <w:bookmarkStart w:id="5" w:name="Anchor47"/>
    <w:bookmarkEnd w:id="5"/>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"TM2014_1580_3" </w:instrText>
      </w:r>
      <w:r w:rsidRPr="00D125AA">
        <w:rPr>
          <w:sz w:val="32"/>
          <w:szCs w:val="32"/>
        </w:rPr>
        <w:fldChar w:fldCharType="separate"/>
      </w:r>
      <w:r w:rsidRPr="00D125AA">
        <w:rPr>
          <w:rStyle w:val="Hyperlink"/>
          <w:sz w:val="32"/>
          <w:szCs w:val="32"/>
        </w:rPr>
        <w:t xml:space="preserve">3- </w:t>
      </w:r>
      <w:r w:rsidRPr="00D125AA">
        <w:rPr>
          <w:rStyle w:val="Hyperlink"/>
          <w:sz w:val="32"/>
          <w:szCs w:val="32"/>
          <w:rtl/>
        </w:rPr>
        <w:t>إن قرينة وفاء المدين بالدين دليلاً غير كامل تُعزز بيمين متممة</w:t>
      </w:r>
      <w:r w:rsidRPr="00D125AA">
        <w:rPr>
          <w:rStyle w:val="Hyperlink"/>
          <w:sz w:val="32"/>
          <w:szCs w:val="32"/>
        </w:rPr>
        <w:t>.</w:t>
      </w:r>
      <w:r w:rsidRPr="00D125AA">
        <w:rPr>
          <w:sz w:val="32"/>
          <w:szCs w:val="32"/>
        </w:rPr>
        <w:fldChar w:fldCharType="end"/>
      </w:r>
    </w:p>
    <w:bookmarkStart w:id="6" w:name="Anchor56"/>
    <w:bookmarkEnd w:id="6"/>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"TM2014_1580_4" </w:instrText>
      </w:r>
      <w:r w:rsidRPr="00D125AA">
        <w:rPr>
          <w:sz w:val="32"/>
          <w:szCs w:val="32"/>
        </w:rPr>
        <w:fldChar w:fldCharType="separate"/>
      </w:r>
      <w:r w:rsidRPr="00D125AA">
        <w:rPr>
          <w:rStyle w:val="Hyperlink"/>
          <w:sz w:val="32"/>
          <w:szCs w:val="32"/>
        </w:rPr>
        <w:t xml:space="preserve">4- </w:t>
      </w:r>
      <w:r w:rsidRPr="00D125AA">
        <w:rPr>
          <w:rStyle w:val="Hyperlink"/>
          <w:sz w:val="32"/>
          <w:szCs w:val="32"/>
          <w:rtl/>
        </w:rPr>
        <w:t>إن تناقض دفاع المدين حول وفائه بالدين مع ما افترضه المشرع بمقتضى قرينة الوفاء بالدين كإنكار الدين أو الطعن ببطلانه يؤدي الى إعتبار الدفع بإنقضاء الإلتزام الصرفي بالتقادم نفعاً غير مقبول</w:t>
      </w:r>
      <w:r w:rsidRPr="00D125AA">
        <w:rPr>
          <w:rStyle w:val="Hyperlink"/>
          <w:sz w:val="32"/>
          <w:szCs w:val="32"/>
        </w:rPr>
        <w:t>.</w:t>
      </w:r>
      <w:r w:rsidRPr="00D125AA">
        <w:rPr>
          <w:sz w:val="32"/>
          <w:szCs w:val="32"/>
        </w:rPr>
        <w:fldChar w:fldCharType="end"/>
      </w:r>
    </w:p>
    <w:bookmarkStart w:id="7" w:name="Anchor77"/>
    <w:bookmarkEnd w:id="7"/>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"TM2014_1580_5" </w:instrText>
      </w:r>
      <w:r w:rsidRPr="00D125AA">
        <w:rPr>
          <w:sz w:val="32"/>
          <w:szCs w:val="32"/>
        </w:rPr>
        <w:fldChar w:fldCharType="separate"/>
      </w:r>
      <w:r w:rsidRPr="00D125AA">
        <w:rPr>
          <w:rStyle w:val="Hyperlink"/>
          <w:sz w:val="32"/>
          <w:szCs w:val="32"/>
        </w:rPr>
        <w:t xml:space="preserve">5- </w:t>
      </w:r>
      <w:r w:rsidRPr="00D125AA">
        <w:rPr>
          <w:rStyle w:val="Hyperlink"/>
          <w:sz w:val="32"/>
          <w:szCs w:val="32"/>
          <w:rtl/>
        </w:rPr>
        <w:t>إن على الدائن إثبات الإلتزام وعلى المدين إثبات التخلص منه</w:t>
      </w:r>
      <w:r w:rsidRPr="00D125AA">
        <w:rPr>
          <w:rStyle w:val="Hyperlink"/>
          <w:sz w:val="32"/>
          <w:szCs w:val="32"/>
        </w:rPr>
        <w:t>.</w:t>
      </w:r>
      <w:r w:rsidRPr="00D125AA">
        <w:rPr>
          <w:sz w:val="32"/>
          <w:szCs w:val="32"/>
        </w:rPr>
        <w:fldChar w:fldCharType="end"/>
      </w:r>
    </w:p>
    <w:bookmarkStart w:id="8" w:name="Anchor84"/>
    <w:bookmarkEnd w:id="8"/>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"TM2014_1580_6" </w:instrText>
      </w:r>
      <w:r w:rsidRPr="00D125AA">
        <w:rPr>
          <w:sz w:val="32"/>
          <w:szCs w:val="32"/>
        </w:rPr>
        <w:fldChar w:fldCharType="separate"/>
      </w:r>
      <w:r w:rsidRPr="00D125AA">
        <w:rPr>
          <w:rStyle w:val="Hyperlink"/>
          <w:sz w:val="32"/>
          <w:szCs w:val="32"/>
        </w:rPr>
        <w:t xml:space="preserve">6- </w:t>
      </w:r>
      <w:r w:rsidRPr="00D125AA">
        <w:rPr>
          <w:rStyle w:val="Hyperlink"/>
          <w:sz w:val="32"/>
          <w:szCs w:val="32"/>
          <w:rtl/>
        </w:rPr>
        <w:t>إن عبء إثبات إنشغال ذمة المدين يقع على عاتق من يدعي ذلك إذ الأصل هو براءة الذمة</w:t>
      </w:r>
      <w:r w:rsidRPr="00D125AA">
        <w:rPr>
          <w:rStyle w:val="Hyperlink"/>
          <w:sz w:val="32"/>
          <w:szCs w:val="32"/>
        </w:rPr>
        <w:t>.</w:t>
      </w:r>
      <w:r w:rsidRPr="00D125AA">
        <w:rPr>
          <w:sz w:val="32"/>
          <w:szCs w:val="32"/>
        </w:rPr>
        <w:fldChar w:fldCharType="end"/>
      </w:r>
    </w:p>
    <w:bookmarkStart w:id="9" w:name="Anchor93"/>
    <w:bookmarkEnd w:id="9"/>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"TM2014_1580_7" </w:instrText>
      </w:r>
      <w:r w:rsidRPr="00D125AA">
        <w:rPr>
          <w:sz w:val="32"/>
          <w:szCs w:val="32"/>
        </w:rPr>
        <w:fldChar w:fldCharType="separate"/>
      </w:r>
      <w:r w:rsidRPr="00D125AA">
        <w:rPr>
          <w:rStyle w:val="Hyperlink"/>
          <w:sz w:val="32"/>
          <w:szCs w:val="32"/>
        </w:rPr>
        <w:t xml:space="preserve">7- </w:t>
      </w:r>
      <w:r w:rsidRPr="00D125AA">
        <w:rPr>
          <w:rStyle w:val="Hyperlink"/>
          <w:sz w:val="32"/>
          <w:szCs w:val="32"/>
          <w:rtl/>
        </w:rPr>
        <w:t>إن للدائن أن يقاضي المدين لإلزامه بالوفاء عيناً مادامت طبيعة الإلتزام تسمح بذلك بعد إنذاره بوجوب التسديد</w:t>
      </w:r>
      <w:r w:rsidRPr="00D125AA">
        <w:rPr>
          <w:rStyle w:val="Hyperlink"/>
          <w:sz w:val="32"/>
          <w:szCs w:val="32"/>
        </w:rPr>
        <w:t>.</w:t>
      </w:r>
      <w:r w:rsidRPr="00D125AA">
        <w:rPr>
          <w:sz w:val="32"/>
          <w:szCs w:val="32"/>
        </w:rPr>
        <w:fldChar w:fldCharType="end"/>
      </w:r>
    </w:p>
    <w:bookmarkStart w:id="10" w:name="Anchor105"/>
    <w:bookmarkEnd w:id="10"/>
    <w:p w:rsidR="00D125AA" w:rsidRPr="00D125AA" w:rsidRDefault="00D125AA" w:rsidP="00D125AA">
      <w:pPr>
        <w:rPr>
          <w:sz w:val="32"/>
          <w:szCs w:val="32"/>
        </w:rPr>
      </w:pPr>
      <w:r w:rsidRPr="00D125AA">
        <w:rPr>
          <w:sz w:val="32"/>
          <w:szCs w:val="32"/>
        </w:rPr>
        <w:fldChar w:fldCharType="begin"/>
      </w:r>
      <w:r w:rsidRPr="00D125AA">
        <w:rPr>
          <w:sz w:val="32"/>
          <w:szCs w:val="32"/>
        </w:rPr>
        <w:instrText xml:space="preserve"> HYPERLINK "http://www.law.gov.kw/KWT_CC-Ar/00_2014/00_%D8%A7%D9%84%D8%AF%D8%A7%D8%A6%D8%B1%D8%A9%20%D8%A7%D9%84%D8%AA%D8%AC%D8%A7%D8%B1%D9%8A%D8%A9/KWT-CC-Ar_2014-05-20_01580_Taan.html" \l "TM2014_1580_8" </w:instrText>
      </w:r>
      <w:r w:rsidRPr="00D125AA">
        <w:rPr>
          <w:sz w:val="32"/>
          <w:szCs w:val="32"/>
        </w:rPr>
        <w:fldChar w:fldCharType="separate"/>
      </w:r>
      <w:r w:rsidRPr="00D125AA">
        <w:rPr>
          <w:rStyle w:val="Hyperlink"/>
          <w:sz w:val="32"/>
          <w:szCs w:val="32"/>
        </w:rPr>
        <w:t xml:space="preserve">8- </w:t>
      </w:r>
      <w:r w:rsidRPr="00D125AA">
        <w:rPr>
          <w:rStyle w:val="Hyperlink"/>
          <w:sz w:val="32"/>
          <w:szCs w:val="32"/>
          <w:rtl/>
        </w:rPr>
        <w:t>إن إصدار أمر الأداء بعد ثبوت إنشغال ذمة المدين بمبلغ من المال بموجب سند مستحق الأداء لدى الإطلاع هو أمر صحيح</w:t>
      </w:r>
      <w:r w:rsidRPr="00D125AA">
        <w:rPr>
          <w:rStyle w:val="Hyperlink"/>
          <w:sz w:val="32"/>
          <w:szCs w:val="32"/>
        </w:rPr>
        <w:t>.</w:t>
      </w:r>
      <w:r w:rsidRPr="00D125AA">
        <w:rPr>
          <w:sz w:val="32"/>
          <w:szCs w:val="32"/>
        </w:rPr>
        <w:fldChar w:fldCharType="end"/>
      </w:r>
      <w:r w:rsidRPr="00D125AA">
        <w:rPr>
          <w:sz w:val="32"/>
          <w:szCs w:val="32"/>
        </w:rPr>
        <w:br/>
      </w:r>
      <w:r w:rsidRPr="00D125AA">
        <w:rPr>
          <w:sz w:val="32"/>
          <w:szCs w:val="32"/>
        </w:rPr>
        <w:br/>
      </w:r>
      <w:r w:rsidRPr="00D125AA">
        <w:rPr>
          <w:sz w:val="32"/>
          <w:szCs w:val="32"/>
          <w:u w:val="single"/>
          <w:rtl/>
        </w:rPr>
        <w:t>ملاحظة</w:t>
      </w:r>
      <w:r w:rsidRPr="00D125AA">
        <w:rPr>
          <w:sz w:val="32"/>
          <w:szCs w:val="32"/>
          <w:u w:val="single"/>
        </w:rPr>
        <w:t xml:space="preserve"> :</w:t>
      </w:r>
      <w:r w:rsidRPr="00D125AA">
        <w:rPr>
          <w:sz w:val="32"/>
          <w:szCs w:val="32"/>
        </w:rPr>
        <w:br/>
      </w:r>
      <w:r w:rsidRPr="00D125A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125AA" w:rsidRPr="00D125AA" w:rsidRDefault="00D125AA" w:rsidP="00D125AA">
      <w:pPr>
        <w:rPr>
          <w:sz w:val="32"/>
          <w:szCs w:val="32"/>
        </w:rPr>
      </w:pPr>
      <w:bookmarkStart w:id="11" w:name="Anchor117"/>
      <w:bookmarkEnd w:id="11"/>
      <w:r w:rsidRPr="00D125AA">
        <w:rPr>
          <w:b/>
          <w:bCs/>
          <w:sz w:val="32"/>
          <w:szCs w:val="32"/>
          <w:rtl/>
        </w:rPr>
        <w:t>المحكمة</w:t>
      </w:r>
    </w:p>
    <w:p w:rsidR="00D125AA" w:rsidRPr="00D125AA" w:rsidRDefault="00D125AA" w:rsidP="00D125AA">
      <w:pPr>
        <w:rPr>
          <w:sz w:val="32"/>
          <w:szCs w:val="32"/>
        </w:rPr>
      </w:pPr>
      <w:bookmarkStart w:id="12" w:name="Anchor118"/>
      <w:bookmarkEnd w:id="12"/>
      <w:r w:rsidRPr="00D125AA">
        <w:rPr>
          <w:sz w:val="32"/>
          <w:szCs w:val="32"/>
          <w:rtl/>
        </w:rPr>
        <w:t>بعد الاطلاع على الأوراق، وسماع المرافعة، وبعد المداولة</w:t>
      </w:r>
      <w:r w:rsidRPr="00D125AA">
        <w:rPr>
          <w:sz w:val="32"/>
          <w:szCs w:val="32"/>
        </w:rPr>
        <w:t>.</w:t>
      </w:r>
    </w:p>
    <w:p w:rsidR="00D125AA" w:rsidRPr="00D125AA" w:rsidRDefault="00D125AA" w:rsidP="00D125AA">
      <w:pPr>
        <w:rPr>
          <w:sz w:val="32"/>
          <w:szCs w:val="32"/>
        </w:rPr>
      </w:pPr>
      <w:bookmarkStart w:id="13" w:name="Anchor125"/>
      <w:bookmarkEnd w:id="13"/>
      <w:r w:rsidRPr="00D125AA">
        <w:rPr>
          <w:sz w:val="32"/>
          <w:szCs w:val="32"/>
          <w:rtl/>
        </w:rPr>
        <w:t>حيث إن الطعن استوفى أوضاعه الشكلية</w:t>
      </w:r>
      <w:r w:rsidRPr="00D125AA">
        <w:rPr>
          <w:sz w:val="32"/>
          <w:szCs w:val="32"/>
        </w:rPr>
        <w:t>.</w:t>
      </w:r>
    </w:p>
    <w:p w:rsidR="00D125AA" w:rsidRPr="00D125AA" w:rsidRDefault="00D125AA" w:rsidP="00D125AA">
      <w:pPr>
        <w:rPr>
          <w:sz w:val="32"/>
          <w:szCs w:val="32"/>
        </w:rPr>
      </w:pPr>
      <w:bookmarkStart w:id="14" w:name="Anchor130"/>
      <w:bookmarkEnd w:id="14"/>
      <w:r w:rsidRPr="00D125AA">
        <w:rPr>
          <w:sz w:val="32"/>
          <w:szCs w:val="32"/>
          <w:rtl/>
        </w:rPr>
        <w:lastRenderedPageBreak/>
        <w:t xml:space="preserve">وحيث إن الوقائع </w:t>
      </w:r>
      <w:r w:rsidRPr="00D125AA">
        <w:rPr>
          <w:sz w:val="32"/>
          <w:szCs w:val="32"/>
        </w:rPr>
        <w:t xml:space="preserve">– </w:t>
      </w:r>
      <w:r w:rsidRPr="00D125AA">
        <w:rPr>
          <w:sz w:val="32"/>
          <w:szCs w:val="32"/>
          <w:rtl/>
        </w:rPr>
        <w:t xml:space="preserve">على ما يبين من الحكم المطعون فيه وسائر الأوراق </w:t>
      </w:r>
      <w:r w:rsidRPr="00D125AA">
        <w:rPr>
          <w:sz w:val="32"/>
          <w:szCs w:val="32"/>
        </w:rPr>
        <w:t xml:space="preserve">– </w:t>
      </w:r>
      <w:r w:rsidRPr="00D125AA">
        <w:rPr>
          <w:sz w:val="32"/>
          <w:szCs w:val="32"/>
          <w:rtl/>
        </w:rPr>
        <w:t>تتحصل في أن البنك الطاعن استصدر أمر الأداء رقم 956 لسنة 2012 كلي بتاريخ 2012/1/2 بإلزام المطعون ضده بأن يؤدي له مبلغ 10830 دينار على سند من أنه يداينه بهذا المبلغ بموجب كمبيالة مؤرخة 2006/4/30 وتستحق السداد لدى الاطلاع ورغم تكليفه بالسداد إلا أنه امتنع استأنف المطعون ضده هذا الأمر بالاستئناف رقم 2717 لسنة 2012 تجاري وبتاريخ 2012/9/13 حكمت المحكمة بإلغاء أمر الأداء وبتقادم الدعوى طعن الطاعن في هذا الحكم بطريق التمييز وأودعت النيابة مذكرة أبدت فيها الرأي برفض الطعن وإذ عرض على هذه المحكمة في غرفة المشورة حددت جلسة لنظره وفيها التزمت النيابة رأيها</w:t>
      </w:r>
      <w:r w:rsidRPr="00D125AA">
        <w:rPr>
          <w:sz w:val="32"/>
          <w:szCs w:val="32"/>
        </w:rPr>
        <w:t>.</w:t>
      </w:r>
    </w:p>
    <w:p w:rsidR="00D125AA" w:rsidRPr="00D125AA" w:rsidRDefault="00D125AA" w:rsidP="00D125AA">
      <w:pPr>
        <w:rPr>
          <w:sz w:val="32"/>
          <w:szCs w:val="32"/>
        </w:rPr>
      </w:pPr>
      <w:bookmarkStart w:id="15" w:name="Anchor188"/>
      <w:bookmarkEnd w:id="15"/>
      <w:r w:rsidRPr="00D125AA">
        <w:rPr>
          <w:sz w:val="32"/>
          <w:szCs w:val="32"/>
          <w:rtl/>
        </w:rPr>
        <w:t xml:space="preserve">وحيث إن مما ينعاه الطاعن على الحكم المطعون فيه مخالفة القانون والخطأ في تطبيقه والإخلال بحق الدفاع ومخالفة الثابت في الأوراق وفي بيان ذلك يقول أنه قضى بإلغاء أمر الأداء وبتقادم الدعوى تأسيساً على مضى أكثر من ثلاث سنوات على تاريخ استحقاق السند الأذني وفقاً لنص المادة 502 من قانون التجارة وأن الطاعن لم يطلب توجيه اليمين المتممة للمطعون ضده بأن ليس في ذمته شيء من الدين في حين أن التقادم الصرفي يقوم على قرينة الوفاء بالدين وأن دفاع المدين </w:t>
      </w:r>
      <w:r w:rsidRPr="00D125AA">
        <w:rPr>
          <w:sz w:val="32"/>
          <w:szCs w:val="32"/>
        </w:rPr>
        <w:t xml:space="preserve">– </w:t>
      </w:r>
      <w:r w:rsidRPr="00D125AA">
        <w:rPr>
          <w:sz w:val="32"/>
          <w:szCs w:val="32"/>
          <w:rtl/>
        </w:rPr>
        <w:t>المطعون ضده</w:t>
      </w:r>
      <w:r w:rsidRPr="00D125AA">
        <w:rPr>
          <w:sz w:val="32"/>
          <w:szCs w:val="32"/>
        </w:rPr>
        <w:t xml:space="preserve">– </w:t>
      </w:r>
      <w:r w:rsidRPr="00D125AA">
        <w:rPr>
          <w:sz w:val="32"/>
          <w:szCs w:val="32"/>
          <w:rtl/>
        </w:rPr>
        <w:t>بأن السند الأذني كان لضمان سداده للقرض يتناقض مع ما افترضه المشرع بمقتضى قرينة الوفاء بالدين فإن دفعه بانقضاء الالتزام الصرفي بالتقادم يكون غير مقبول وهو ما يعيبه ويستوجب تمييزه</w:t>
      </w:r>
      <w:r w:rsidRPr="00D125AA">
        <w:rPr>
          <w:sz w:val="32"/>
          <w:szCs w:val="32"/>
        </w:rPr>
        <w:t>.</w:t>
      </w:r>
    </w:p>
    <w:p w:rsidR="00D125AA" w:rsidRPr="00D125AA" w:rsidRDefault="00D125AA" w:rsidP="00D125AA">
      <w:pPr>
        <w:rPr>
          <w:sz w:val="32"/>
          <w:szCs w:val="32"/>
        </w:rPr>
      </w:pPr>
      <w:bookmarkStart w:id="16" w:name="Anchor253"/>
      <w:bookmarkStart w:id="17" w:name="TM2014_1580_1"/>
      <w:bookmarkEnd w:id="16"/>
      <w:bookmarkEnd w:id="17"/>
      <w:r w:rsidRPr="00D125AA">
        <w:rPr>
          <w:b/>
          <w:bCs/>
          <w:sz w:val="32"/>
          <w:szCs w:val="32"/>
          <w:rtl/>
        </w:rPr>
        <w:t xml:space="preserve">وحيث إن هذا النعي في محله ذلك أن النص في المادة 502/1 من المرسوم بالقانون رقم </w:t>
      </w:r>
      <w:r w:rsidRPr="00D125AA">
        <w:rPr>
          <w:b/>
          <w:bCs/>
          <w:sz w:val="32"/>
          <w:szCs w:val="32"/>
        </w:rPr>
        <w:t xml:space="preserve">68 </w:t>
      </w:r>
      <w:r w:rsidRPr="00D125AA">
        <w:rPr>
          <w:b/>
          <w:bCs/>
          <w:sz w:val="32"/>
          <w:szCs w:val="32"/>
          <w:rtl/>
        </w:rPr>
        <w:t xml:space="preserve">لسنة 1980 بإصدار قانون التجارة على أنه </w:t>
      </w:r>
      <w:r w:rsidRPr="00D125AA">
        <w:rPr>
          <w:b/>
          <w:bCs/>
          <w:sz w:val="32"/>
          <w:szCs w:val="32"/>
        </w:rPr>
        <w:t>"</w:t>
      </w:r>
      <w:r w:rsidRPr="00D125AA">
        <w:rPr>
          <w:b/>
          <w:bCs/>
          <w:sz w:val="32"/>
          <w:szCs w:val="32"/>
          <w:rtl/>
        </w:rPr>
        <w:t>كل دعوى ناشئة عن الكمبيالة تجاه قابلها تتقادم بمضي ثلاث سنوات من تاريخ الاستحقاق</w:t>
      </w:r>
      <w:r w:rsidRPr="00D125AA">
        <w:rPr>
          <w:b/>
          <w:bCs/>
          <w:sz w:val="32"/>
          <w:szCs w:val="32"/>
        </w:rPr>
        <w:t xml:space="preserve">" </w:t>
      </w:r>
      <w:r w:rsidRPr="00D125AA">
        <w:rPr>
          <w:b/>
          <w:bCs/>
          <w:sz w:val="32"/>
          <w:szCs w:val="32"/>
          <w:rtl/>
        </w:rPr>
        <w:t xml:space="preserve">وفي المادة 505 منه على أن </w:t>
      </w:r>
      <w:r w:rsidRPr="00D125AA">
        <w:rPr>
          <w:b/>
          <w:bCs/>
          <w:sz w:val="32"/>
          <w:szCs w:val="32"/>
        </w:rPr>
        <w:t>"</w:t>
      </w:r>
      <w:r w:rsidRPr="00D125AA">
        <w:rPr>
          <w:b/>
          <w:bCs/>
          <w:sz w:val="32"/>
          <w:szCs w:val="32"/>
          <w:rtl/>
        </w:rPr>
        <w:t xml:space="preserve">يجب على المدعي عليهم بالدين رغم انقضاء مدة التقادم أن يقروا باليمين ببراءة ذمتهم من الدين إذا طلب إليهم حلفها </w:t>
      </w:r>
      <w:r w:rsidRPr="00D125AA">
        <w:rPr>
          <w:b/>
          <w:bCs/>
          <w:sz w:val="32"/>
          <w:szCs w:val="32"/>
        </w:rPr>
        <w:t xml:space="preserve">..." </w:t>
      </w:r>
      <w:r w:rsidRPr="00D125AA">
        <w:rPr>
          <w:b/>
          <w:bCs/>
          <w:sz w:val="32"/>
          <w:szCs w:val="32"/>
          <w:rtl/>
        </w:rPr>
        <w:t xml:space="preserve">مفاده أن الدعاوي الناشئة عن الكمبيالة تتقادم بمضي ثلاث سنوات من تاريخ استحقاقها وعلى المدعي عليهم رغم انقضاء مدة التقادم أن يحلفوا يميناً ببراءة ذمتهم من ذلك الدين حال طلب حلفها منهم </w:t>
      </w:r>
      <w:r w:rsidRPr="00D125AA">
        <w:rPr>
          <w:sz w:val="32"/>
          <w:szCs w:val="32"/>
          <w:rtl/>
        </w:rPr>
        <w:t xml:space="preserve">كما أنه </w:t>
      </w:r>
      <w:bookmarkStart w:id="18" w:name="TM2014_1580_2"/>
      <w:bookmarkEnd w:id="18"/>
      <w:r w:rsidRPr="00D125AA">
        <w:rPr>
          <w:b/>
          <w:bCs/>
          <w:sz w:val="32"/>
          <w:szCs w:val="32"/>
          <w:rtl/>
        </w:rPr>
        <w:t xml:space="preserve">من المقرر </w:t>
      </w:r>
      <w:r w:rsidRPr="00D125AA">
        <w:rPr>
          <w:b/>
          <w:bCs/>
          <w:sz w:val="32"/>
          <w:szCs w:val="32"/>
        </w:rPr>
        <w:t xml:space="preserve">– </w:t>
      </w:r>
      <w:r w:rsidRPr="00D125AA">
        <w:rPr>
          <w:b/>
          <w:bCs/>
          <w:sz w:val="32"/>
          <w:szCs w:val="32"/>
          <w:rtl/>
        </w:rPr>
        <w:t xml:space="preserve">في قضاء هذه المحكمة </w:t>
      </w:r>
      <w:r w:rsidRPr="00D125AA">
        <w:rPr>
          <w:b/>
          <w:bCs/>
          <w:sz w:val="32"/>
          <w:szCs w:val="32"/>
        </w:rPr>
        <w:t xml:space="preserve">– </w:t>
      </w:r>
      <w:r w:rsidRPr="00D125AA">
        <w:rPr>
          <w:b/>
          <w:bCs/>
          <w:sz w:val="32"/>
          <w:szCs w:val="32"/>
          <w:rtl/>
        </w:rPr>
        <w:t>أن التقادم الصرفي يقوم على قرينة الوفاء بالدين أي افتراض أن الدائن قد استوفى حقه من مدينه</w:t>
      </w:r>
      <w:r w:rsidRPr="00D125AA">
        <w:rPr>
          <w:sz w:val="32"/>
          <w:szCs w:val="32"/>
          <w:rtl/>
        </w:rPr>
        <w:t xml:space="preserve"> وأن </w:t>
      </w:r>
      <w:bookmarkStart w:id="19" w:name="TM2014_1580_3"/>
      <w:bookmarkEnd w:id="19"/>
      <w:r w:rsidRPr="00D125AA">
        <w:rPr>
          <w:b/>
          <w:bCs/>
          <w:sz w:val="32"/>
          <w:szCs w:val="32"/>
          <w:rtl/>
        </w:rPr>
        <w:t xml:space="preserve">المشرع اعتبر هذه القرينة دليلاً غير كامل فرأي تعزيزها بيمين متممة يحلفها المدين على أن ليس في ذمته شيء من الدين </w:t>
      </w:r>
      <w:r w:rsidRPr="00D125AA">
        <w:rPr>
          <w:sz w:val="32"/>
          <w:szCs w:val="32"/>
          <w:rtl/>
        </w:rPr>
        <w:t xml:space="preserve">وأنه </w:t>
      </w:r>
      <w:bookmarkStart w:id="20" w:name="TM2014_1580_4"/>
      <w:bookmarkEnd w:id="20"/>
      <w:r w:rsidRPr="00D125AA">
        <w:rPr>
          <w:b/>
          <w:bCs/>
          <w:sz w:val="32"/>
          <w:szCs w:val="32"/>
          <w:rtl/>
        </w:rPr>
        <w:t xml:space="preserve">إذا تناقض دفاع المدين مع ما أفترضه المشرع بمقتضى هذه القرينة كأن ينكر الدين أصلاً أو يطعن عليه بالبطلان لأي سبب من الأسباب التي لا تتفق مع حصول الوفاء كان دفعه بانقضاء الالتزام الصرفي بالتقادم غير مقبول، لما كان ذلك وكان الثابت في الأوراق أن المطعون ضده </w:t>
      </w:r>
      <w:r w:rsidRPr="00D125AA">
        <w:rPr>
          <w:b/>
          <w:bCs/>
          <w:sz w:val="32"/>
          <w:szCs w:val="32"/>
        </w:rPr>
        <w:t xml:space="preserve">– </w:t>
      </w:r>
      <w:r w:rsidRPr="00D125AA">
        <w:rPr>
          <w:b/>
          <w:bCs/>
          <w:sz w:val="32"/>
          <w:szCs w:val="32"/>
          <w:rtl/>
        </w:rPr>
        <w:t>المدين</w:t>
      </w:r>
      <w:r w:rsidRPr="00D125AA">
        <w:rPr>
          <w:b/>
          <w:bCs/>
          <w:sz w:val="32"/>
          <w:szCs w:val="32"/>
        </w:rPr>
        <w:t xml:space="preserve">– </w:t>
      </w:r>
      <w:r w:rsidRPr="00D125AA">
        <w:rPr>
          <w:b/>
          <w:bCs/>
          <w:sz w:val="32"/>
          <w:szCs w:val="32"/>
          <w:rtl/>
        </w:rPr>
        <w:t>وإن كان قد تمسك بالتقادم الصرفي المنصوص عليه في المادة المشار إليها إلا أنه أسس ذلك على أن السند الأذني موضوع أمر الأداء كان ضماناً لقرض منحه البنك الطاعن فإن ما أبداه في هذا الشأن يعد إقراراً ضمنياً منه بعدم الوفاء بالدين وهو ما يتناقض مع قرينة الوفاء التي يقوم عليها التقادم الثلاثي ومن ثم يضحي الدفع بانقضاء الالتزام الصرفي غير مقبول وإذ خالف الحكم المطعون فيه هذا النظر فإن يكون قد أخطأ في تطبيق القانون بما يوجب تمييزه لهذا السبب دون حاجة لبحث باقي أسباب الطعن</w:t>
      </w:r>
      <w:r w:rsidRPr="00D125AA">
        <w:rPr>
          <w:b/>
          <w:bCs/>
          <w:sz w:val="32"/>
          <w:szCs w:val="32"/>
        </w:rPr>
        <w:t>.</w:t>
      </w:r>
    </w:p>
    <w:p w:rsidR="00D125AA" w:rsidRPr="00D125AA" w:rsidRDefault="00D125AA" w:rsidP="00D125AA">
      <w:pPr>
        <w:rPr>
          <w:sz w:val="32"/>
          <w:szCs w:val="32"/>
        </w:rPr>
      </w:pPr>
      <w:bookmarkStart w:id="21" w:name="Anchor405"/>
      <w:bookmarkEnd w:id="21"/>
      <w:r w:rsidRPr="00D125AA">
        <w:rPr>
          <w:sz w:val="32"/>
          <w:szCs w:val="32"/>
          <w:rtl/>
        </w:rPr>
        <w:t xml:space="preserve">وحيث أنه عن موضوع الاستئناف رقم 2717 لسنة 2012 تجاري فإنه صالح للفصل فيه ولما تقدم وكان </w:t>
      </w:r>
      <w:bookmarkStart w:id="22" w:name="TM2014_1580_5"/>
      <w:bookmarkEnd w:id="22"/>
      <w:r w:rsidRPr="00D125AA">
        <w:rPr>
          <w:b/>
          <w:bCs/>
          <w:sz w:val="32"/>
          <w:szCs w:val="32"/>
          <w:rtl/>
        </w:rPr>
        <w:t>من المقرر وفقاً لنص المادة الأولى من قانون الإثبات أن على الدائن إثبات الالتزام وعلى المدين إثبات التخلص منه</w:t>
      </w:r>
    </w:p>
    <w:p w:rsidR="00D125AA" w:rsidRPr="00D125AA" w:rsidRDefault="00D125AA" w:rsidP="00D125AA">
      <w:pPr>
        <w:rPr>
          <w:sz w:val="32"/>
          <w:szCs w:val="32"/>
        </w:rPr>
      </w:pPr>
      <w:bookmarkStart w:id="23" w:name="Anchor425"/>
      <w:bookmarkStart w:id="24" w:name="TM2014_1580_6"/>
      <w:bookmarkEnd w:id="23"/>
      <w:bookmarkEnd w:id="24"/>
      <w:r w:rsidRPr="00D125AA">
        <w:rPr>
          <w:b/>
          <w:bCs/>
          <w:sz w:val="32"/>
          <w:szCs w:val="32"/>
          <w:rtl/>
        </w:rPr>
        <w:t xml:space="preserve">ومن المقرر أيضاً أن الأصل هو براءة الذمة وانشغالها عارض ويقع عبء الإثبات على عاتق من يدعي ما يخالف الثابت أصلاً مدعياً كان أم مدعي عليه </w:t>
      </w:r>
      <w:r w:rsidRPr="00D125AA">
        <w:rPr>
          <w:sz w:val="32"/>
          <w:szCs w:val="32"/>
          <w:rtl/>
        </w:rPr>
        <w:t xml:space="preserve">وأن </w:t>
      </w:r>
      <w:bookmarkStart w:id="25" w:name="TM2014_1580_7"/>
      <w:bookmarkEnd w:id="25"/>
      <w:r w:rsidRPr="00D125AA">
        <w:rPr>
          <w:b/>
          <w:bCs/>
          <w:sz w:val="32"/>
          <w:szCs w:val="32"/>
          <w:rtl/>
        </w:rPr>
        <w:t>الإلتزام بالمديونية ينقضي بإحدى طرق انقضاء الالتزام ومنها الوفاء وإذا لم يقم المدين به جاز للدائن مقاضاته لإلزامه على القيام به عيناً ما دام طبيعة الالتزام تسمح بذلك بعد إنذاره أو التنبيه عليه بالسداد</w:t>
      </w:r>
    </w:p>
    <w:p w:rsidR="00D125AA" w:rsidRPr="00D125AA" w:rsidRDefault="00D125AA" w:rsidP="00D125AA">
      <w:pPr>
        <w:rPr>
          <w:sz w:val="32"/>
          <w:szCs w:val="32"/>
        </w:rPr>
      </w:pPr>
      <w:bookmarkStart w:id="26" w:name="Anchor457"/>
      <w:bookmarkStart w:id="27" w:name="TM2014_1580_8"/>
      <w:bookmarkEnd w:id="26"/>
      <w:bookmarkEnd w:id="27"/>
      <w:r w:rsidRPr="00D125AA">
        <w:rPr>
          <w:b/>
          <w:bCs/>
          <w:sz w:val="32"/>
          <w:szCs w:val="32"/>
          <w:rtl/>
        </w:rPr>
        <w:t>لما كان ذلك وكان الثابت بالأوراق أن المستأنف ضده يداين المستأنف بمبلغ 10830 دينار بموجب سند أذني مؤرخ 2006/4/30 ومستحق السداد لدى الاطلاع ولم يقم بالوفاء به رغم تكليفه بذلك ومن ثم تكون ذمته مشغولة بالمبلغ المذكور مما يتعين تأييد أمر الأداء المستأنف</w:t>
      </w:r>
      <w:r w:rsidRPr="00D125AA">
        <w:rPr>
          <w:b/>
          <w:bCs/>
          <w:sz w:val="32"/>
          <w:szCs w:val="32"/>
        </w:rPr>
        <w:t>.</w:t>
      </w:r>
    </w:p>
    <w:p w:rsidR="00D125AA" w:rsidRPr="00D125AA" w:rsidRDefault="00D125AA" w:rsidP="00D125AA">
      <w:pPr>
        <w:rPr>
          <w:sz w:val="32"/>
          <w:szCs w:val="32"/>
        </w:rPr>
      </w:pPr>
      <w:bookmarkStart w:id="28" w:name="Anchor480"/>
      <w:bookmarkEnd w:id="28"/>
      <w:r w:rsidRPr="00D125AA">
        <w:rPr>
          <w:sz w:val="32"/>
          <w:szCs w:val="32"/>
          <w:rtl/>
        </w:rPr>
        <w:t>وحيث أنه عن المصروفات شاملة أتعاب المحاماة فإن المحكمة تلزم بها المستأنف عملاً بنص المادتين 119 ، 147 من قانون المرافعات</w:t>
      </w:r>
      <w:r w:rsidRPr="00D125AA">
        <w:rPr>
          <w:sz w:val="32"/>
          <w:szCs w:val="32"/>
        </w:rPr>
        <w:t>.</w:t>
      </w:r>
    </w:p>
    <w:p w:rsidR="00D125AA" w:rsidRPr="00D125AA" w:rsidRDefault="00D125AA" w:rsidP="00D125AA">
      <w:pPr>
        <w:rPr>
          <w:sz w:val="32"/>
          <w:szCs w:val="32"/>
        </w:rPr>
      </w:pPr>
      <w:bookmarkStart w:id="29" w:name="Anchor491"/>
      <w:bookmarkEnd w:id="29"/>
      <w:r w:rsidRPr="00D125AA">
        <w:rPr>
          <w:b/>
          <w:bCs/>
          <w:sz w:val="32"/>
          <w:szCs w:val="32"/>
          <w:rtl/>
        </w:rPr>
        <w:t>لذلك</w:t>
      </w:r>
    </w:p>
    <w:p w:rsidR="00D125AA" w:rsidRPr="00D125AA" w:rsidRDefault="00D125AA" w:rsidP="00D125AA">
      <w:pPr>
        <w:rPr>
          <w:sz w:val="32"/>
          <w:szCs w:val="32"/>
        </w:rPr>
      </w:pPr>
      <w:bookmarkStart w:id="30" w:name="Anchor492"/>
      <w:bookmarkEnd w:id="30"/>
      <w:r w:rsidRPr="00D125AA">
        <w:rPr>
          <w:b/>
          <w:bCs/>
          <w:sz w:val="32"/>
          <w:szCs w:val="32"/>
          <w:rtl/>
        </w:rPr>
        <w:t>حكمت المحكمة</w:t>
      </w:r>
      <w:r w:rsidRPr="00D125AA">
        <w:rPr>
          <w:b/>
          <w:bCs/>
          <w:sz w:val="32"/>
          <w:szCs w:val="32"/>
        </w:rPr>
        <w:t xml:space="preserve">:- </w:t>
      </w:r>
      <w:r w:rsidRPr="00D125AA">
        <w:rPr>
          <w:b/>
          <w:bCs/>
          <w:sz w:val="32"/>
          <w:szCs w:val="32"/>
          <w:rtl/>
        </w:rPr>
        <w:t>أولاً</w:t>
      </w:r>
      <w:r w:rsidRPr="00D125AA">
        <w:rPr>
          <w:b/>
          <w:bCs/>
          <w:sz w:val="32"/>
          <w:szCs w:val="32"/>
        </w:rPr>
        <w:t>:</w:t>
      </w:r>
      <w:r w:rsidRPr="00D125AA">
        <w:rPr>
          <w:sz w:val="32"/>
          <w:szCs w:val="32"/>
        </w:rPr>
        <w:t xml:space="preserve"> </w:t>
      </w:r>
      <w:r w:rsidRPr="00D125AA">
        <w:rPr>
          <w:sz w:val="32"/>
          <w:szCs w:val="32"/>
          <w:rtl/>
        </w:rPr>
        <w:t>بقبول الطعن شكلاً، وفي الموضوع بتمييز الحكم المطعون فيه وألزمت المطعون ضده المصروفات وعشرين ديناراً مقابل أتعاب المحاماة</w:t>
      </w:r>
      <w:r w:rsidRPr="00D125AA">
        <w:rPr>
          <w:sz w:val="32"/>
          <w:szCs w:val="32"/>
        </w:rPr>
        <w:t>.</w:t>
      </w:r>
    </w:p>
    <w:p w:rsidR="00D125AA" w:rsidRPr="00D125AA" w:rsidRDefault="00D125AA" w:rsidP="00D125AA">
      <w:pPr>
        <w:rPr>
          <w:sz w:val="32"/>
          <w:szCs w:val="32"/>
        </w:rPr>
      </w:pPr>
      <w:bookmarkStart w:id="31" w:name="Anchor507"/>
      <w:bookmarkEnd w:id="31"/>
      <w:r w:rsidRPr="00D125AA">
        <w:rPr>
          <w:b/>
          <w:bCs/>
          <w:sz w:val="32"/>
          <w:szCs w:val="32"/>
          <w:rtl/>
        </w:rPr>
        <w:t>ثانياً</w:t>
      </w:r>
      <w:r w:rsidRPr="00D125AA">
        <w:rPr>
          <w:b/>
          <w:bCs/>
          <w:sz w:val="32"/>
          <w:szCs w:val="32"/>
        </w:rPr>
        <w:t>:</w:t>
      </w:r>
      <w:r w:rsidRPr="00D125AA">
        <w:rPr>
          <w:sz w:val="32"/>
          <w:szCs w:val="32"/>
        </w:rPr>
        <w:t xml:space="preserve"> </w:t>
      </w:r>
      <w:r w:rsidRPr="00D125AA">
        <w:rPr>
          <w:sz w:val="32"/>
          <w:szCs w:val="32"/>
          <w:rtl/>
        </w:rPr>
        <w:t xml:space="preserve">وفي موضوع الاستئناف رقم 2717 لسنة 2012 تجاري برفضه وتأييد أمر الأداء المستأنف رقم </w:t>
      </w:r>
      <w:r w:rsidRPr="00D125AA">
        <w:rPr>
          <w:sz w:val="32"/>
          <w:szCs w:val="32"/>
        </w:rPr>
        <w:t xml:space="preserve">956 </w:t>
      </w:r>
      <w:r w:rsidRPr="00D125AA">
        <w:rPr>
          <w:sz w:val="32"/>
          <w:szCs w:val="32"/>
          <w:rtl/>
        </w:rPr>
        <w:t>لسنة 2012 كلي وألزمت المستأنف المصروفات وعشرين ديناراً مقابل أتعاب المحاماة</w:t>
      </w:r>
      <w:r w:rsidRPr="00D125AA">
        <w:rPr>
          <w:sz w:val="32"/>
          <w:szCs w:val="32"/>
        </w:rPr>
        <w:t>.</w:t>
      </w:r>
    </w:p>
    <w:p w:rsidR="00D125AA" w:rsidRPr="00D125AA" w:rsidRDefault="00D125AA" w:rsidP="00D125AA">
      <w:pPr>
        <w:rPr>
          <w:sz w:val="32"/>
          <w:szCs w:val="32"/>
        </w:rPr>
      </w:pPr>
    </w:p>
    <w:p w:rsidR="00D125AA" w:rsidRPr="00D125AA" w:rsidRDefault="00D125AA" w:rsidP="00D125AA">
      <w:pPr>
        <w:rPr>
          <w:sz w:val="32"/>
          <w:szCs w:val="32"/>
        </w:rPr>
      </w:pPr>
      <w:bookmarkStart w:id="32" w:name="Anchor523"/>
      <w:bookmarkEnd w:id="32"/>
      <w:r w:rsidRPr="00D125AA">
        <w:rPr>
          <w:sz w:val="32"/>
          <w:szCs w:val="32"/>
        </w:rPr>
        <w:t>* * *</w:t>
      </w:r>
    </w:p>
    <w:p w:rsidR="008C2BA0" w:rsidRPr="00D125AA" w:rsidRDefault="008C2BA0">
      <w:pPr>
        <w:rPr>
          <w:sz w:val="32"/>
          <w:szCs w:val="32"/>
        </w:rPr>
      </w:pPr>
    </w:p>
    <w:sectPr w:rsidR="008C2BA0" w:rsidRPr="00D125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0C"/>
    <w:rsid w:val="0003272B"/>
    <w:rsid w:val="008C2BA0"/>
    <w:rsid w:val="00B1180C"/>
    <w:rsid w:val="00D125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5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5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4979">
      <w:bodyDiv w:val="1"/>
      <w:marLeft w:val="0"/>
      <w:marRight w:val="0"/>
      <w:marTop w:val="0"/>
      <w:marBottom w:val="0"/>
      <w:divBdr>
        <w:top w:val="none" w:sz="0" w:space="0" w:color="auto"/>
        <w:left w:val="none" w:sz="0" w:space="0" w:color="auto"/>
        <w:bottom w:val="none" w:sz="0" w:space="0" w:color="auto"/>
        <w:right w:val="none" w:sz="0" w:space="0" w:color="auto"/>
      </w:divBdr>
      <w:divsChild>
        <w:div w:id="550919619">
          <w:marLeft w:val="0"/>
          <w:marRight w:val="0"/>
          <w:marTop w:val="0"/>
          <w:marBottom w:val="0"/>
          <w:divBdr>
            <w:top w:val="none" w:sz="0" w:space="0" w:color="auto"/>
            <w:left w:val="none" w:sz="0" w:space="0" w:color="auto"/>
            <w:bottom w:val="none" w:sz="0" w:space="0" w:color="auto"/>
            <w:right w:val="none" w:sz="0" w:space="0" w:color="auto"/>
          </w:divBdr>
        </w:div>
        <w:div w:id="417945674">
          <w:marLeft w:val="0"/>
          <w:marRight w:val="0"/>
          <w:marTop w:val="0"/>
          <w:marBottom w:val="0"/>
          <w:divBdr>
            <w:top w:val="none" w:sz="0" w:space="0" w:color="auto"/>
            <w:left w:val="none" w:sz="0" w:space="0" w:color="auto"/>
            <w:bottom w:val="none" w:sz="0" w:space="0" w:color="auto"/>
            <w:right w:val="none" w:sz="0" w:space="0" w:color="auto"/>
          </w:divBdr>
        </w:div>
        <w:div w:id="674958648">
          <w:marLeft w:val="0"/>
          <w:marRight w:val="0"/>
          <w:marTop w:val="0"/>
          <w:marBottom w:val="0"/>
          <w:divBdr>
            <w:top w:val="none" w:sz="0" w:space="0" w:color="auto"/>
            <w:left w:val="none" w:sz="0" w:space="0" w:color="auto"/>
            <w:bottom w:val="none" w:sz="0" w:space="0" w:color="auto"/>
            <w:right w:val="none" w:sz="0" w:space="0" w:color="auto"/>
          </w:divBdr>
        </w:div>
        <w:div w:id="819930163">
          <w:marLeft w:val="0"/>
          <w:marRight w:val="0"/>
          <w:marTop w:val="0"/>
          <w:marBottom w:val="0"/>
          <w:divBdr>
            <w:top w:val="none" w:sz="0" w:space="0" w:color="auto"/>
            <w:left w:val="none" w:sz="0" w:space="0" w:color="auto"/>
            <w:bottom w:val="none" w:sz="0" w:space="0" w:color="auto"/>
            <w:right w:val="none" w:sz="0" w:space="0" w:color="auto"/>
          </w:divBdr>
        </w:div>
        <w:div w:id="1436949551">
          <w:marLeft w:val="0"/>
          <w:marRight w:val="0"/>
          <w:marTop w:val="0"/>
          <w:marBottom w:val="0"/>
          <w:divBdr>
            <w:top w:val="none" w:sz="0" w:space="0" w:color="auto"/>
            <w:left w:val="none" w:sz="0" w:space="0" w:color="auto"/>
            <w:bottom w:val="none" w:sz="0" w:space="0" w:color="auto"/>
            <w:right w:val="none" w:sz="0" w:space="0" w:color="auto"/>
          </w:divBdr>
        </w:div>
        <w:div w:id="1354384791">
          <w:marLeft w:val="0"/>
          <w:marRight w:val="0"/>
          <w:marTop w:val="0"/>
          <w:marBottom w:val="0"/>
          <w:divBdr>
            <w:top w:val="none" w:sz="0" w:space="0" w:color="auto"/>
            <w:left w:val="none" w:sz="0" w:space="0" w:color="auto"/>
            <w:bottom w:val="none" w:sz="0" w:space="0" w:color="auto"/>
            <w:right w:val="none" w:sz="0" w:space="0" w:color="auto"/>
          </w:divBdr>
        </w:div>
        <w:div w:id="1043213589">
          <w:marLeft w:val="0"/>
          <w:marRight w:val="0"/>
          <w:marTop w:val="0"/>
          <w:marBottom w:val="0"/>
          <w:divBdr>
            <w:top w:val="none" w:sz="0" w:space="0" w:color="auto"/>
            <w:left w:val="none" w:sz="0" w:space="0" w:color="auto"/>
            <w:bottom w:val="none" w:sz="0" w:space="0" w:color="auto"/>
            <w:right w:val="none" w:sz="0" w:space="0" w:color="auto"/>
          </w:divBdr>
        </w:div>
        <w:div w:id="653535866">
          <w:marLeft w:val="0"/>
          <w:marRight w:val="0"/>
          <w:marTop w:val="0"/>
          <w:marBottom w:val="0"/>
          <w:divBdr>
            <w:top w:val="none" w:sz="0" w:space="0" w:color="auto"/>
            <w:left w:val="none" w:sz="0" w:space="0" w:color="auto"/>
            <w:bottom w:val="none" w:sz="0" w:space="0" w:color="auto"/>
            <w:right w:val="none" w:sz="0" w:space="0" w:color="auto"/>
          </w:divBdr>
        </w:div>
        <w:div w:id="456995870">
          <w:marLeft w:val="0"/>
          <w:marRight w:val="0"/>
          <w:marTop w:val="0"/>
          <w:marBottom w:val="0"/>
          <w:divBdr>
            <w:top w:val="none" w:sz="0" w:space="0" w:color="auto"/>
            <w:left w:val="none" w:sz="0" w:space="0" w:color="auto"/>
            <w:bottom w:val="none" w:sz="0" w:space="0" w:color="auto"/>
            <w:right w:val="none" w:sz="0" w:space="0" w:color="auto"/>
          </w:divBdr>
        </w:div>
        <w:div w:id="55209204">
          <w:marLeft w:val="0"/>
          <w:marRight w:val="0"/>
          <w:marTop w:val="0"/>
          <w:marBottom w:val="0"/>
          <w:divBdr>
            <w:top w:val="none" w:sz="0" w:space="0" w:color="auto"/>
            <w:left w:val="none" w:sz="0" w:space="0" w:color="auto"/>
            <w:bottom w:val="none" w:sz="0" w:space="0" w:color="auto"/>
            <w:right w:val="none" w:sz="0" w:space="0" w:color="auto"/>
          </w:divBdr>
        </w:div>
        <w:div w:id="1937009841">
          <w:marLeft w:val="0"/>
          <w:marRight w:val="0"/>
          <w:marTop w:val="0"/>
          <w:marBottom w:val="0"/>
          <w:divBdr>
            <w:top w:val="none" w:sz="0" w:space="0" w:color="auto"/>
            <w:left w:val="none" w:sz="0" w:space="0" w:color="auto"/>
            <w:bottom w:val="none" w:sz="0" w:space="0" w:color="auto"/>
            <w:right w:val="none" w:sz="0" w:space="0" w:color="auto"/>
          </w:divBdr>
        </w:div>
        <w:div w:id="1829131583">
          <w:marLeft w:val="0"/>
          <w:marRight w:val="0"/>
          <w:marTop w:val="0"/>
          <w:marBottom w:val="0"/>
          <w:divBdr>
            <w:top w:val="none" w:sz="0" w:space="0" w:color="auto"/>
            <w:left w:val="none" w:sz="0" w:space="0" w:color="auto"/>
            <w:bottom w:val="none" w:sz="0" w:space="0" w:color="auto"/>
            <w:right w:val="none" w:sz="0" w:space="0" w:color="auto"/>
          </w:divBdr>
        </w:div>
        <w:div w:id="11491815">
          <w:marLeft w:val="0"/>
          <w:marRight w:val="0"/>
          <w:marTop w:val="0"/>
          <w:marBottom w:val="0"/>
          <w:divBdr>
            <w:top w:val="none" w:sz="0" w:space="0" w:color="auto"/>
            <w:left w:val="none" w:sz="0" w:space="0" w:color="auto"/>
            <w:bottom w:val="none" w:sz="0" w:space="0" w:color="auto"/>
            <w:right w:val="none" w:sz="0" w:space="0" w:color="auto"/>
          </w:divBdr>
        </w:div>
        <w:div w:id="53622293">
          <w:marLeft w:val="0"/>
          <w:marRight w:val="0"/>
          <w:marTop w:val="0"/>
          <w:marBottom w:val="0"/>
          <w:divBdr>
            <w:top w:val="none" w:sz="0" w:space="0" w:color="auto"/>
            <w:left w:val="none" w:sz="0" w:space="0" w:color="auto"/>
            <w:bottom w:val="none" w:sz="0" w:space="0" w:color="auto"/>
            <w:right w:val="none" w:sz="0" w:space="0" w:color="auto"/>
          </w:divBdr>
        </w:div>
        <w:div w:id="1388144112">
          <w:marLeft w:val="0"/>
          <w:marRight w:val="0"/>
          <w:marTop w:val="0"/>
          <w:marBottom w:val="0"/>
          <w:divBdr>
            <w:top w:val="none" w:sz="0" w:space="0" w:color="auto"/>
            <w:left w:val="none" w:sz="0" w:space="0" w:color="auto"/>
            <w:bottom w:val="none" w:sz="0" w:space="0" w:color="auto"/>
            <w:right w:val="none" w:sz="0" w:space="0" w:color="auto"/>
          </w:divBdr>
        </w:div>
        <w:div w:id="1202474372">
          <w:marLeft w:val="0"/>
          <w:marRight w:val="0"/>
          <w:marTop w:val="0"/>
          <w:marBottom w:val="0"/>
          <w:divBdr>
            <w:top w:val="none" w:sz="0" w:space="0" w:color="auto"/>
            <w:left w:val="none" w:sz="0" w:space="0" w:color="auto"/>
            <w:bottom w:val="none" w:sz="0" w:space="0" w:color="auto"/>
            <w:right w:val="none" w:sz="0" w:space="0" w:color="auto"/>
          </w:divBdr>
        </w:div>
        <w:div w:id="1623537675">
          <w:marLeft w:val="0"/>
          <w:marRight w:val="0"/>
          <w:marTop w:val="0"/>
          <w:marBottom w:val="0"/>
          <w:divBdr>
            <w:top w:val="none" w:sz="0" w:space="0" w:color="auto"/>
            <w:left w:val="none" w:sz="0" w:space="0" w:color="auto"/>
            <w:bottom w:val="none" w:sz="0" w:space="0" w:color="auto"/>
            <w:right w:val="none" w:sz="0" w:space="0" w:color="auto"/>
          </w:divBdr>
        </w:div>
        <w:div w:id="519897329">
          <w:marLeft w:val="0"/>
          <w:marRight w:val="0"/>
          <w:marTop w:val="0"/>
          <w:marBottom w:val="0"/>
          <w:divBdr>
            <w:top w:val="none" w:sz="0" w:space="0" w:color="auto"/>
            <w:left w:val="none" w:sz="0" w:space="0" w:color="auto"/>
            <w:bottom w:val="none" w:sz="0" w:space="0" w:color="auto"/>
            <w:right w:val="none" w:sz="0" w:space="0" w:color="auto"/>
          </w:divBdr>
        </w:div>
        <w:div w:id="875656199">
          <w:marLeft w:val="0"/>
          <w:marRight w:val="0"/>
          <w:marTop w:val="0"/>
          <w:marBottom w:val="0"/>
          <w:divBdr>
            <w:top w:val="none" w:sz="0" w:space="0" w:color="auto"/>
            <w:left w:val="none" w:sz="0" w:space="0" w:color="auto"/>
            <w:bottom w:val="none" w:sz="0" w:space="0" w:color="auto"/>
            <w:right w:val="none" w:sz="0" w:space="0" w:color="auto"/>
          </w:divBdr>
        </w:div>
        <w:div w:id="1396271303">
          <w:marLeft w:val="0"/>
          <w:marRight w:val="0"/>
          <w:marTop w:val="0"/>
          <w:marBottom w:val="0"/>
          <w:divBdr>
            <w:top w:val="none" w:sz="0" w:space="0" w:color="auto"/>
            <w:left w:val="none" w:sz="0" w:space="0" w:color="auto"/>
            <w:bottom w:val="none" w:sz="0" w:space="0" w:color="auto"/>
            <w:right w:val="none" w:sz="0" w:space="0" w:color="auto"/>
          </w:divBdr>
        </w:div>
        <w:div w:id="1407410273">
          <w:marLeft w:val="0"/>
          <w:marRight w:val="0"/>
          <w:marTop w:val="0"/>
          <w:marBottom w:val="0"/>
          <w:divBdr>
            <w:top w:val="none" w:sz="0" w:space="0" w:color="auto"/>
            <w:left w:val="none" w:sz="0" w:space="0" w:color="auto"/>
            <w:bottom w:val="none" w:sz="0" w:space="0" w:color="auto"/>
            <w:right w:val="none" w:sz="0" w:space="0" w:color="auto"/>
          </w:divBdr>
        </w:div>
        <w:div w:id="404571327">
          <w:marLeft w:val="0"/>
          <w:marRight w:val="0"/>
          <w:marTop w:val="0"/>
          <w:marBottom w:val="0"/>
          <w:divBdr>
            <w:top w:val="none" w:sz="0" w:space="0" w:color="auto"/>
            <w:left w:val="none" w:sz="0" w:space="0" w:color="auto"/>
            <w:bottom w:val="none" w:sz="0" w:space="0" w:color="auto"/>
            <w:right w:val="none" w:sz="0" w:space="0" w:color="auto"/>
          </w:divBdr>
        </w:div>
        <w:div w:id="2129273206">
          <w:marLeft w:val="0"/>
          <w:marRight w:val="0"/>
          <w:marTop w:val="0"/>
          <w:marBottom w:val="0"/>
          <w:divBdr>
            <w:top w:val="none" w:sz="0" w:space="0" w:color="auto"/>
            <w:left w:val="none" w:sz="0" w:space="0" w:color="auto"/>
            <w:bottom w:val="none" w:sz="0" w:space="0" w:color="auto"/>
            <w:right w:val="none" w:sz="0" w:space="0" w:color="auto"/>
          </w:divBdr>
        </w:div>
        <w:div w:id="775950188">
          <w:marLeft w:val="0"/>
          <w:marRight w:val="0"/>
          <w:marTop w:val="0"/>
          <w:marBottom w:val="0"/>
          <w:divBdr>
            <w:top w:val="none" w:sz="0" w:space="0" w:color="auto"/>
            <w:left w:val="none" w:sz="0" w:space="0" w:color="auto"/>
            <w:bottom w:val="none" w:sz="0" w:space="0" w:color="auto"/>
            <w:right w:val="none" w:sz="0" w:space="0" w:color="auto"/>
          </w:divBdr>
        </w:div>
      </w:divsChild>
    </w:div>
    <w:div w:id="2039038195">
      <w:bodyDiv w:val="1"/>
      <w:marLeft w:val="0"/>
      <w:marRight w:val="0"/>
      <w:marTop w:val="0"/>
      <w:marBottom w:val="0"/>
      <w:divBdr>
        <w:top w:val="none" w:sz="0" w:space="0" w:color="auto"/>
        <w:left w:val="none" w:sz="0" w:space="0" w:color="auto"/>
        <w:bottom w:val="none" w:sz="0" w:space="0" w:color="auto"/>
        <w:right w:val="none" w:sz="0" w:space="0" w:color="auto"/>
      </w:divBdr>
      <w:divsChild>
        <w:div w:id="957415743">
          <w:marLeft w:val="0"/>
          <w:marRight w:val="0"/>
          <w:marTop w:val="0"/>
          <w:marBottom w:val="0"/>
          <w:divBdr>
            <w:top w:val="none" w:sz="0" w:space="0" w:color="auto"/>
            <w:left w:val="none" w:sz="0" w:space="0" w:color="auto"/>
            <w:bottom w:val="none" w:sz="0" w:space="0" w:color="auto"/>
            <w:right w:val="none" w:sz="0" w:space="0" w:color="auto"/>
          </w:divBdr>
        </w:div>
        <w:div w:id="1275794163">
          <w:marLeft w:val="0"/>
          <w:marRight w:val="0"/>
          <w:marTop w:val="0"/>
          <w:marBottom w:val="0"/>
          <w:divBdr>
            <w:top w:val="none" w:sz="0" w:space="0" w:color="auto"/>
            <w:left w:val="none" w:sz="0" w:space="0" w:color="auto"/>
            <w:bottom w:val="none" w:sz="0" w:space="0" w:color="auto"/>
            <w:right w:val="none" w:sz="0" w:space="0" w:color="auto"/>
          </w:divBdr>
        </w:div>
        <w:div w:id="96369486">
          <w:marLeft w:val="0"/>
          <w:marRight w:val="0"/>
          <w:marTop w:val="0"/>
          <w:marBottom w:val="0"/>
          <w:divBdr>
            <w:top w:val="none" w:sz="0" w:space="0" w:color="auto"/>
            <w:left w:val="none" w:sz="0" w:space="0" w:color="auto"/>
            <w:bottom w:val="none" w:sz="0" w:space="0" w:color="auto"/>
            <w:right w:val="none" w:sz="0" w:space="0" w:color="auto"/>
          </w:divBdr>
        </w:div>
        <w:div w:id="37896807">
          <w:marLeft w:val="0"/>
          <w:marRight w:val="0"/>
          <w:marTop w:val="0"/>
          <w:marBottom w:val="0"/>
          <w:divBdr>
            <w:top w:val="none" w:sz="0" w:space="0" w:color="auto"/>
            <w:left w:val="none" w:sz="0" w:space="0" w:color="auto"/>
            <w:bottom w:val="none" w:sz="0" w:space="0" w:color="auto"/>
            <w:right w:val="none" w:sz="0" w:space="0" w:color="auto"/>
          </w:divBdr>
        </w:div>
        <w:div w:id="114102192">
          <w:marLeft w:val="0"/>
          <w:marRight w:val="0"/>
          <w:marTop w:val="0"/>
          <w:marBottom w:val="0"/>
          <w:divBdr>
            <w:top w:val="none" w:sz="0" w:space="0" w:color="auto"/>
            <w:left w:val="none" w:sz="0" w:space="0" w:color="auto"/>
            <w:bottom w:val="none" w:sz="0" w:space="0" w:color="auto"/>
            <w:right w:val="none" w:sz="0" w:space="0" w:color="auto"/>
          </w:divBdr>
        </w:div>
        <w:div w:id="1537162082">
          <w:marLeft w:val="0"/>
          <w:marRight w:val="0"/>
          <w:marTop w:val="0"/>
          <w:marBottom w:val="0"/>
          <w:divBdr>
            <w:top w:val="none" w:sz="0" w:space="0" w:color="auto"/>
            <w:left w:val="none" w:sz="0" w:space="0" w:color="auto"/>
            <w:bottom w:val="none" w:sz="0" w:space="0" w:color="auto"/>
            <w:right w:val="none" w:sz="0" w:space="0" w:color="auto"/>
          </w:divBdr>
        </w:div>
        <w:div w:id="1110517009">
          <w:marLeft w:val="0"/>
          <w:marRight w:val="0"/>
          <w:marTop w:val="0"/>
          <w:marBottom w:val="0"/>
          <w:divBdr>
            <w:top w:val="none" w:sz="0" w:space="0" w:color="auto"/>
            <w:left w:val="none" w:sz="0" w:space="0" w:color="auto"/>
            <w:bottom w:val="none" w:sz="0" w:space="0" w:color="auto"/>
            <w:right w:val="none" w:sz="0" w:space="0" w:color="auto"/>
          </w:divBdr>
        </w:div>
        <w:div w:id="121968654">
          <w:marLeft w:val="0"/>
          <w:marRight w:val="0"/>
          <w:marTop w:val="0"/>
          <w:marBottom w:val="0"/>
          <w:divBdr>
            <w:top w:val="none" w:sz="0" w:space="0" w:color="auto"/>
            <w:left w:val="none" w:sz="0" w:space="0" w:color="auto"/>
            <w:bottom w:val="none" w:sz="0" w:space="0" w:color="auto"/>
            <w:right w:val="none" w:sz="0" w:space="0" w:color="auto"/>
          </w:divBdr>
        </w:div>
        <w:div w:id="1297182103">
          <w:marLeft w:val="0"/>
          <w:marRight w:val="0"/>
          <w:marTop w:val="0"/>
          <w:marBottom w:val="0"/>
          <w:divBdr>
            <w:top w:val="none" w:sz="0" w:space="0" w:color="auto"/>
            <w:left w:val="none" w:sz="0" w:space="0" w:color="auto"/>
            <w:bottom w:val="none" w:sz="0" w:space="0" w:color="auto"/>
            <w:right w:val="none" w:sz="0" w:space="0" w:color="auto"/>
          </w:divBdr>
        </w:div>
        <w:div w:id="1605459815">
          <w:marLeft w:val="0"/>
          <w:marRight w:val="0"/>
          <w:marTop w:val="0"/>
          <w:marBottom w:val="0"/>
          <w:divBdr>
            <w:top w:val="none" w:sz="0" w:space="0" w:color="auto"/>
            <w:left w:val="none" w:sz="0" w:space="0" w:color="auto"/>
            <w:bottom w:val="none" w:sz="0" w:space="0" w:color="auto"/>
            <w:right w:val="none" w:sz="0" w:space="0" w:color="auto"/>
          </w:divBdr>
        </w:div>
        <w:div w:id="376125572">
          <w:marLeft w:val="0"/>
          <w:marRight w:val="0"/>
          <w:marTop w:val="0"/>
          <w:marBottom w:val="0"/>
          <w:divBdr>
            <w:top w:val="none" w:sz="0" w:space="0" w:color="auto"/>
            <w:left w:val="none" w:sz="0" w:space="0" w:color="auto"/>
            <w:bottom w:val="none" w:sz="0" w:space="0" w:color="auto"/>
            <w:right w:val="none" w:sz="0" w:space="0" w:color="auto"/>
          </w:divBdr>
        </w:div>
        <w:div w:id="1128936060">
          <w:marLeft w:val="0"/>
          <w:marRight w:val="0"/>
          <w:marTop w:val="0"/>
          <w:marBottom w:val="0"/>
          <w:divBdr>
            <w:top w:val="none" w:sz="0" w:space="0" w:color="auto"/>
            <w:left w:val="none" w:sz="0" w:space="0" w:color="auto"/>
            <w:bottom w:val="none" w:sz="0" w:space="0" w:color="auto"/>
            <w:right w:val="none" w:sz="0" w:space="0" w:color="auto"/>
          </w:divBdr>
        </w:div>
        <w:div w:id="1210647811">
          <w:marLeft w:val="0"/>
          <w:marRight w:val="0"/>
          <w:marTop w:val="0"/>
          <w:marBottom w:val="0"/>
          <w:divBdr>
            <w:top w:val="none" w:sz="0" w:space="0" w:color="auto"/>
            <w:left w:val="none" w:sz="0" w:space="0" w:color="auto"/>
            <w:bottom w:val="none" w:sz="0" w:space="0" w:color="auto"/>
            <w:right w:val="none" w:sz="0" w:space="0" w:color="auto"/>
          </w:divBdr>
        </w:div>
        <w:div w:id="1242639589">
          <w:marLeft w:val="0"/>
          <w:marRight w:val="0"/>
          <w:marTop w:val="0"/>
          <w:marBottom w:val="0"/>
          <w:divBdr>
            <w:top w:val="none" w:sz="0" w:space="0" w:color="auto"/>
            <w:left w:val="none" w:sz="0" w:space="0" w:color="auto"/>
            <w:bottom w:val="none" w:sz="0" w:space="0" w:color="auto"/>
            <w:right w:val="none" w:sz="0" w:space="0" w:color="auto"/>
          </w:divBdr>
        </w:div>
        <w:div w:id="1670250598">
          <w:marLeft w:val="0"/>
          <w:marRight w:val="0"/>
          <w:marTop w:val="0"/>
          <w:marBottom w:val="0"/>
          <w:divBdr>
            <w:top w:val="none" w:sz="0" w:space="0" w:color="auto"/>
            <w:left w:val="none" w:sz="0" w:space="0" w:color="auto"/>
            <w:bottom w:val="none" w:sz="0" w:space="0" w:color="auto"/>
            <w:right w:val="none" w:sz="0" w:space="0" w:color="auto"/>
          </w:divBdr>
        </w:div>
        <w:div w:id="1639728212">
          <w:marLeft w:val="0"/>
          <w:marRight w:val="0"/>
          <w:marTop w:val="0"/>
          <w:marBottom w:val="0"/>
          <w:divBdr>
            <w:top w:val="none" w:sz="0" w:space="0" w:color="auto"/>
            <w:left w:val="none" w:sz="0" w:space="0" w:color="auto"/>
            <w:bottom w:val="none" w:sz="0" w:space="0" w:color="auto"/>
            <w:right w:val="none" w:sz="0" w:space="0" w:color="auto"/>
          </w:divBdr>
        </w:div>
        <w:div w:id="1728722588">
          <w:marLeft w:val="0"/>
          <w:marRight w:val="0"/>
          <w:marTop w:val="0"/>
          <w:marBottom w:val="0"/>
          <w:divBdr>
            <w:top w:val="none" w:sz="0" w:space="0" w:color="auto"/>
            <w:left w:val="none" w:sz="0" w:space="0" w:color="auto"/>
            <w:bottom w:val="none" w:sz="0" w:space="0" w:color="auto"/>
            <w:right w:val="none" w:sz="0" w:space="0" w:color="auto"/>
          </w:divBdr>
        </w:div>
        <w:div w:id="487136970">
          <w:marLeft w:val="0"/>
          <w:marRight w:val="0"/>
          <w:marTop w:val="0"/>
          <w:marBottom w:val="0"/>
          <w:divBdr>
            <w:top w:val="none" w:sz="0" w:space="0" w:color="auto"/>
            <w:left w:val="none" w:sz="0" w:space="0" w:color="auto"/>
            <w:bottom w:val="none" w:sz="0" w:space="0" w:color="auto"/>
            <w:right w:val="none" w:sz="0" w:space="0" w:color="auto"/>
          </w:divBdr>
        </w:div>
        <w:div w:id="916523350">
          <w:marLeft w:val="0"/>
          <w:marRight w:val="0"/>
          <w:marTop w:val="0"/>
          <w:marBottom w:val="0"/>
          <w:divBdr>
            <w:top w:val="none" w:sz="0" w:space="0" w:color="auto"/>
            <w:left w:val="none" w:sz="0" w:space="0" w:color="auto"/>
            <w:bottom w:val="none" w:sz="0" w:space="0" w:color="auto"/>
            <w:right w:val="none" w:sz="0" w:space="0" w:color="auto"/>
          </w:divBdr>
        </w:div>
        <w:div w:id="945232993">
          <w:marLeft w:val="0"/>
          <w:marRight w:val="0"/>
          <w:marTop w:val="0"/>
          <w:marBottom w:val="0"/>
          <w:divBdr>
            <w:top w:val="none" w:sz="0" w:space="0" w:color="auto"/>
            <w:left w:val="none" w:sz="0" w:space="0" w:color="auto"/>
            <w:bottom w:val="none" w:sz="0" w:space="0" w:color="auto"/>
            <w:right w:val="none" w:sz="0" w:space="0" w:color="auto"/>
          </w:divBdr>
        </w:div>
        <w:div w:id="1026180505">
          <w:marLeft w:val="0"/>
          <w:marRight w:val="0"/>
          <w:marTop w:val="0"/>
          <w:marBottom w:val="0"/>
          <w:divBdr>
            <w:top w:val="none" w:sz="0" w:space="0" w:color="auto"/>
            <w:left w:val="none" w:sz="0" w:space="0" w:color="auto"/>
            <w:bottom w:val="none" w:sz="0" w:space="0" w:color="auto"/>
            <w:right w:val="none" w:sz="0" w:space="0" w:color="auto"/>
          </w:divBdr>
        </w:div>
        <w:div w:id="441851458">
          <w:marLeft w:val="0"/>
          <w:marRight w:val="0"/>
          <w:marTop w:val="0"/>
          <w:marBottom w:val="0"/>
          <w:divBdr>
            <w:top w:val="none" w:sz="0" w:space="0" w:color="auto"/>
            <w:left w:val="none" w:sz="0" w:space="0" w:color="auto"/>
            <w:bottom w:val="none" w:sz="0" w:space="0" w:color="auto"/>
            <w:right w:val="none" w:sz="0" w:space="0" w:color="auto"/>
          </w:divBdr>
        </w:div>
        <w:div w:id="1688942864">
          <w:marLeft w:val="0"/>
          <w:marRight w:val="0"/>
          <w:marTop w:val="0"/>
          <w:marBottom w:val="0"/>
          <w:divBdr>
            <w:top w:val="none" w:sz="0" w:space="0" w:color="auto"/>
            <w:left w:val="none" w:sz="0" w:space="0" w:color="auto"/>
            <w:bottom w:val="none" w:sz="0" w:space="0" w:color="auto"/>
            <w:right w:val="none" w:sz="0" w:space="0" w:color="auto"/>
          </w:divBdr>
        </w:div>
        <w:div w:id="115765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2020-04-26T12:20:00Z</dcterms:created>
  <dcterms:modified xsi:type="dcterms:W3CDTF">2020-04-26T12:20:00Z</dcterms:modified>
</cp:coreProperties>
</file>