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BCB" w:rsidRPr="00D56BCB" w:rsidRDefault="00D56BCB" w:rsidP="00D56BCB">
      <w:pPr>
        <w:jc w:val="center"/>
        <w:rPr>
          <w:sz w:val="32"/>
          <w:szCs w:val="32"/>
        </w:rPr>
      </w:pPr>
      <w:bookmarkStart w:id="0" w:name="Anchor1"/>
      <w:bookmarkEnd w:id="0"/>
      <w:r w:rsidRPr="00D56BCB">
        <w:rPr>
          <w:sz w:val="32"/>
          <w:szCs w:val="32"/>
          <w:rtl/>
        </w:rPr>
        <w:t>الطعن رقم 16</w:t>
      </w:r>
      <w:bookmarkStart w:id="1" w:name="_GoBack"/>
      <w:bookmarkEnd w:id="1"/>
      <w:r w:rsidRPr="00D56BCB">
        <w:rPr>
          <w:sz w:val="32"/>
          <w:szCs w:val="32"/>
          <w:rtl/>
        </w:rPr>
        <w:t>22/2009</w:t>
      </w:r>
    </w:p>
    <w:p w:rsidR="00D56BCB" w:rsidRPr="00D56BCB" w:rsidRDefault="00D56BCB" w:rsidP="00D56BCB">
      <w:pPr>
        <w:rPr>
          <w:sz w:val="32"/>
          <w:szCs w:val="32"/>
        </w:rPr>
      </w:pPr>
      <w:bookmarkStart w:id="2" w:name="Anchor6"/>
      <w:bookmarkEnd w:id="2"/>
      <w:r w:rsidRPr="00D56BCB">
        <w:rPr>
          <w:sz w:val="32"/>
          <w:szCs w:val="32"/>
          <w:rtl/>
        </w:rPr>
        <w:t>هيئة المحكمة</w:t>
      </w:r>
      <w:r w:rsidRPr="00D56BCB">
        <w:rPr>
          <w:sz w:val="32"/>
          <w:szCs w:val="32"/>
        </w:rPr>
        <w:t xml:space="preserve">: </w:t>
      </w:r>
      <w:r w:rsidRPr="00D56BCB">
        <w:rPr>
          <w:sz w:val="32"/>
          <w:szCs w:val="32"/>
          <w:rtl/>
        </w:rPr>
        <w:t>برئاسة السيد المستشار خالد المزيني وكيل المحكمة وعضوية السادة صلاح الدين كامل المستشارين وأمين طموم وأحمد أبو ضيف وعلي مرغني</w:t>
      </w:r>
    </w:p>
    <w:bookmarkStart w:id="3" w:name="Anchor25"/>
    <w:bookmarkEnd w:id="3"/>
    <w:p w:rsidR="00D56BCB" w:rsidRPr="00D56BCB" w:rsidRDefault="00D56BCB" w:rsidP="00D56BCB">
      <w:pPr>
        <w:rPr>
          <w:sz w:val="32"/>
          <w:szCs w:val="32"/>
        </w:rPr>
      </w:pPr>
      <w:r w:rsidRPr="00D56BCB">
        <w:rPr>
          <w:sz w:val="32"/>
          <w:szCs w:val="32"/>
        </w:rPr>
        <w:fldChar w:fldCharType="begin"/>
      </w:r>
      <w:r w:rsidRPr="00D56BCB">
        <w:rPr>
          <w:sz w:val="32"/>
          <w:szCs w:val="32"/>
        </w:rPr>
        <w:instrText xml:space="preserve"> HYPERLINK "http://www.law.gov.kw/KWT_CC-Ar/00_2014/00_%D8%A7%D9%84%D8%AF%D8%A7%D8%A6%D8%B1%D8%A9%20%D8%A7%D9%84%D8%AA%D8%AC%D8%A7%D8%B1%D9%8A%D8%A9/KWT-CC-Ar_2014-11-13_01622_Taan.html" \l "TM2014_1622_1" </w:instrText>
      </w:r>
      <w:r w:rsidRPr="00D56BCB">
        <w:rPr>
          <w:sz w:val="32"/>
          <w:szCs w:val="32"/>
        </w:rPr>
        <w:fldChar w:fldCharType="separate"/>
      </w:r>
      <w:r w:rsidRPr="00D56BCB">
        <w:rPr>
          <w:rStyle w:val="Hyperlink"/>
          <w:sz w:val="32"/>
          <w:szCs w:val="32"/>
        </w:rPr>
        <w:t xml:space="preserve">1 – </w:t>
      </w:r>
      <w:r w:rsidRPr="00D56BCB">
        <w:rPr>
          <w:rStyle w:val="Hyperlink"/>
          <w:sz w:val="32"/>
          <w:szCs w:val="32"/>
          <w:rtl/>
        </w:rPr>
        <w:t>إنشاء المشرع دائرة في المحكمة الكلية تختص دون غيرها بالفصل في المنازعات العمالية الناشئة عن تطبيق احكام القوانين المنظمة للعمل في القطاع الاهلي وقطاع الأعمال النفطية والقوانين المنظمة العلاقة بين العمال وأرباب العمل</w:t>
      </w:r>
      <w:r w:rsidRPr="00D56BCB">
        <w:rPr>
          <w:rStyle w:val="Hyperlink"/>
          <w:sz w:val="32"/>
          <w:szCs w:val="32"/>
        </w:rPr>
        <w:t>.</w:t>
      </w:r>
      <w:r w:rsidRPr="00D56BCB">
        <w:rPr>
          <w:sz w:val="32"/>
          <w:szCs w:val="32"/>
        </w:rPr>
        <w:fldChar w:fldCharType="end"/>
      </w:r>
    </w:p>
    <w:bookmarkStart w:id="4" w:name="Anchor50"/>
    <w:bookmarkEnd w:id="4"/>
    <w:p w:rsidR="00D56BCB" w:rsidRPr="00D56BCB" w:rsidRDefault="00D56BCB" w:rsidP="00D56BCB">
      <w:pPr>
        <w:rPr>
          <w:sz w:val="32"/>
          <w:szCs w:val="32"/>
        </w:rPr>
      </w:pPr>
      <w:r w:rsidRPr="00D56BCB">
        <w:rPr>
          <w:sz w:val="32"/>
          <w:szCs w:val="32"/>
        </w:rPr>
        <w:fldChar w:fldCharType="begin"/>
      </w:r>
      <w:r w:rsidRPr="00D56BCB">
        <w:rPr>
          <w:sz w:val="32"/>
          <w:szCs w:val="32"/>
        </w:rPr>
        <w:instrText xml:space="preserve"> HYPERLINK "http://www.law.gov.kw/KWT_CC-Ar/00_2014/00_%D8%A7%D9%84%D8%AF%D8%A7%D8%A6%D8%B1%D8%A9%20%D8%A7%D9%84%D8%AA%D8%AC%D8%A7%D8%B1%D9%8A%D8%A9/KWT-CC-Ar_2014-11-13_01622_Taan.html" \l "TM2014_1622_2" </w:instrText>
      </w:r>
      <w:r w:rsidRPr="00D56BCB">
        <w:rPr>
          <w:sz w:val="32"/>
          <w:szCs w:val="32"/>
        </w:rPr>
        <w:fldChar w:fldCharType="separate"/>
      </w:r>
      <w:r w:rsidRPr="00D56BCB">
        <w:rPr>
          <w:rStyle w:val="Hyperlink"/>
          <w:sz w:val="32"/>
          <w:szCs w:val="32"/>
        </w:rPr>
        <w:t xml:space="preserve">2 – </w:t>
      </w:r>
      <w:r w:rsidRPr="00D56BCB">
        <w:rPr>
          <w:rStyle w:val="Hyperlink"/>
          <w:sz w:val="32"/>
          <w:szCs w:val="32"/>
          <w:rtl/>
        </w:rPr>
        <w:t>إن تكييف عقد العمل وتمييزه عن غيره من العقود يُبنى على عنصر التبعية الذي يتمثل في خضوع العامل لرب العمل وإشرافه ورقابته وهو من المسائل التي يستقل بها قاضي الموضوع</w:t>
      </w:r>
      <w:r w:rsidRPr="00D56BCB">
        <w:rPr>
          <w:rStyle w:val="Hyperlink"/>
          <w:sz w:val="32"/>
          <w:szCs w:val="32"/>
        </w:rPr>
        <w:t>.</w:t>
      </w:r>
      <w:r w:rsidRPr="00D56BCB">
        <w:rPr>
          <w:sz w:val="32"/>
          <w:szCs w:val="32"/>
        </w:rPr>
        <w:fldChar w:fldCharType="end"/>
      </w:r>
    </w:p>
    <w:bookmarkStart w:id="5" w:name="Anchor68"/>
    <w:bookmarkEnd w:id="5"/>
    <w:p w:rsidR="00D56BCB" w:rsidRPr="00D56BCB" w:rsidRDefault="00D56BCB" w:rsidP="00D56BCB">
      <w:pPr>
        <w:rPr>
          <w:sz w:val="32"/>
          <w:szCs w:val="32"/>
        </w:rPr>
      </w:pPr>
      <w:r w:rsidRPr="00D56BCB">
        <w:rPr>
          <w:sz w:val="32"/>
          <w:szCs w:val="32"/>
        </w:rPr>
        <w:fldChar w:fldCharType="begin"/>
      </w:r>
      <w:r w:rsidRPr="00D56BCB">
        <w:rPr>
          <w:sz w:val="32"/>
          <w:szCs w:val="32"/>
        </w:rPr>
        <w:instrText xml:space="preserve"> HYPERLINK "http://www.law.gov.kw/KWT_CC-Ar/00_2014/00_%D8%A7%D9%84%D8%AF%D8%A7%D8%A6%D8%B1%D8%A9%20%D8%A7%D9%84%D8%AA%D8%AC%D8%A7%D8%B1%D9%8A%D8%A9/KWT-CC-Ar_2014-11-13_01622_Taan.html" \l "TM2014_1622_3" </w:instrText>
      </w:r>
      <w:r w:rsidRPr="00D56BCB">
        <w:rPr>
          <w:sz w:val="32"/>
          <w:szCs w:val="32"/>
        </w:rPr>
        <w:fldChar w:fldCharType="separate"/>
      </w:r>
      <w:r w:rsidRPr="00D56BCB">
        <w:rPr>
          <w:rStyle w:val="Hyperlink"/>
          <w:sz w:val="32"/>
          <w:szCs w:val="32"/>
        </w:rPr>
        <w:t xml:space="preserve">3 – </w:t>
      </w:r>
      <w:r w:rsidRPr="00D56BCB">
        <w:rPr>
          <w:rStyle w:val="Hyperlink"/>
          <w:sz w:val="32"/>
          <w:szCs w:val="32"/>
          <w:rtl/>
        </w:rPr>
        <w:t>ان الحكم القاضي بعدم إختصاص المحكمة التجارية نوعياً بالنظر في دعوى مستحقات مدير الشركة واعتبارها داخلة ضمن الاختصاص النوعي للدائرة العمالية هو حكم معيب بالخطأ في تطبيق القانون</w:t>
      </w:r>
      <w:r w:rsidRPr="00D56BCB">
        <w:rPr>
          <w:rStyle w:val="Hyperlink"/>
          <w:sz w:val="32"/>
          <w:szCs w:val="32"/>
        </w:rPr>
        <w:t>.</w:t>
      </w:r>
      <w:r w:rsidRPr="00D56BCB">
        <w:rPr>
          <w:sz w:val="32"/>
          <w:szCs w:val="32"/>
        </w:rPr>
        <w:fldChar w:fldCharType="end"/>
      </w:r>
    </w:p>
    <w:bookmarkStart w:id="6" w:name="Anchor88"/>
    <w:bookmarkEnd w:id="6"/>
    <w:p w:rsidR="00D56BCB" w:rsidRPr="00D56BCB" w:rsidRDefault="00D56BCB" w:rsidP="00D56BCB">
      <w:pPr>
        <w:rPr>
          <w:sz w:val="32"/>
          <w:szCs w:val="32"/>
        </w:rPr>
      </w:pPr>
      <w:r w:rsidRPr="00D56BCB">
        <w:rPr>
          <w:sz w:val="32"/>
          <w:szCs w:val="32"/>
        </w:rPr>
        <w:fldChar w:fldCharType="begin"/>
      </w:r>
      <w:r w:rsidRPr="00D56BCB">
        <w:rPr>
          <w:sz w:val="32"/>
          <w:szCs w:val="32"/>
        </w:rPr>
        <w:instrText xml:space="preserve"> HYPERLINK "http://www.law.gov.kw/KWT_CC-Ar/00_2014/00_%D8%A7%D9%84%D8%AF%D8%A7%D8%A6%D8%B1%D8%A9%20%D8%A7%D9%84%D8%AA%D8%AC%D8%A7%D8%B1%D9%8A%D8%A9/KWT-CC-Ar_2014-11-13_01622_Taan.html" \l "TM2014_1622_4" </w:instrText>
      </w:r>
      <w:r w:rsidRPr="00D56BCB">
        <w:rPr>
          <w:sz w:val="32"/>
          <w:szCs w:val="32"/>
        </w:rPr>
        <w:fldChar w:fldCharType="separate"/>
      </w:r>
      <w:r w:rsidRPr="00D56BCB">
        <w:rPr>
          <w:rStyle w:val="Hyperlink"/>
          <w:sz w:val="32"/>
          <w:szCs w:val="32"/>
        </w:rPr>
        <w:t xml:space="preserve">4 – </w:t>
      </w:r>
      <w:r w:rsidRPr="00D56BCB">
        <w:rPr>
          <w:rStyle w:val="Hyperlink"/>
          <w:sz w:val="32"/>
          <w:szCs w:val="32"/>
          <w:rtl/>
        </w:rPr>
        <w:t>ان القضاء بإلغاء الحكم المستأنف وإعادة الأوراق الى محكمة اول درجة للفصل في موضوع النزاع متعلق بالنظام العام لناحية عدم إستنفاد محكمة اول درجة ولايتها وعدم حرمان الخصوم من التقاضي على درجتين</w:t>
      </w:r>
      <w:r w:rsidRPr="00D56BCB">
        <w:rPr>
          <w:rStyle w:val="Hyperlink"/>
          <w:sz w:val="32"/>
          <w:szCs w:val="32"/>
        </w:rPr>
        <w:t>.</w:t>
      </w:r>
      <w:r w:rsidRPr="00D56BCB">
        <w:rPr>
          <w:sz w:val="32"/>
          <w:szCs w:val="32"/>
        </w:rPr>
        <w:fldChar w:fldCharType="end"/>
      </w:r>
      <w:r w:rsidRPr="00D56BCB">
        <w:rPr>
          <w:sz w:val="32"/>
          <w:szCs w:val="32"/>
        </w:rPr>
        <w:br/>
      </w:r>
      <w:r w:rsidRPr="00D56BCB">
        <w:rPr>
          <w:sz w:val="32"/>
          <w:szCs w:val="32"/>
        </w:rPr>
        <w:br/>
      </w:r>
      <w:r w:rsidRPr="00D56BCB">
        <w:rPr>
          <w:sz w:val="32"/>
          <w:szCs w:val="32"/>
          <w:u w:val="single"/>
          <w:rtl/>
        </w:rPr>
        <w:t>ملاحظة</w:t>
      </w:r>
      <w:r w:rsidRPr="00D56BCB">
        <w:rPr>
          <w:sz w:val="32"/>
          <w:szCs w:val="32"/>
          <w:u w:val="single"/>
        </w:rPr>
        <w:t xml:space="preserve"> :</w:t>
      </w:r>
      <w:r w:rsidRPr="00D56BCB">
        <w:rPr>
          <w:sz w:val="32"/>
          <w:szCs w:val="32"/>
        </w:rPr>
        <w:br/>
      </w:r>
      <w:r w:rsidRPr="00D56BCB">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D56BCB" w:rsidRPr="00D56BCB" w:rsidRDefault="00D56BCB" w:rsidP="00D56BCB">
      <w:pPr>
        <w:rPr>
          <w:sz w:val="32"/>
          <w:szCs w:val="32"/>
        </w:rPr>
      </w:pPr>
      <w:bookmarkStart w:id="7" w:name="Anchor108"/>
      <w:bookmarkEnd w:id="7"/>
      <w:r w:rsidRPr="00D56BCB">
        <w:rPr>
          <w:b/>
          <w:bCs/>
          <w:sz w:val="32"/>
          <w:szCs w:val="32"/>
          <w:rtl/>
        </w:rPr>
        <w:t>المحكمـــة</w:t>
      </w:r>
    </w:p>
    <w:p w:rsidR="00D56BCB" w:rsidRPr="00D56BCB" w:rsidRDefault="00D56BCB" w:rsidP="00D56BCB">
      <w:pPr>
        <w:rPr>
          <w:sz w:val="32"/>
          <w:szCs w:val="32"/>
        </w:rPr>
      </w:pPr>
      <w:bookmarkStart w:id="8" w:name="Anchor109"/>
      <w:bookmarkEnd w:id="8"/>
      <w:r w:rsidRPr="00D56BCB">
        <w:rPr>
          <w:sz w:val="32"/>
          <w:szCs w:val="32"/>
          <w:rtl/>
        </w:rPr>
        <w:t>بعد الاطلاع على الأوراق ، وسماع المرافعة وبعد المداولة</w:t>
      </w:r>
      <w:r w:rsidRPr="00D56BCB">
        <w:rPr>
          <w:sz w:val="32"/>
          <w:szCs w:val="32"/>
        </w:rPr>
        <w:t>.</w:t>
      </w:r>
    </w:p>
    <w:p w:rsidR="00D56BCB" w:rsidRPr="00D56BCB" w:rsidRDefault="00D56BCB" w:rsidP="00D56BCB">
      <w:pPr>
        <w:rPr>
          <w:sz w:val="32"/>
          <w:szCs w:val="32"/>
        </w:rPr>
      </w:pPr>
      <w:bookmarkStart w:id="9" w:name="Anchor116"/>
      <w:bookmarkEnd w:id="9"/>
      <w:r w:rsidRPr="00D56BCB">
        <w:rPr>
          <w:sz w:val="32"/>
          <w:szCs w:val="32"/>
          <w:rtl/>
        </w:rPr>
        <w:t>حيث إن الطعن استوفى أوضاعه الشكلية</w:t>
      </w:r>
      <w:r w:rsidRPr="00D56BCB">
        <w:rPr>
          <w:sz w:val="32"/>
          <w:szCs w:val="32"/>
        </w:rPr>
        <w:t>.</w:t>
      </w:r>
    </w:p>
    <w:p w:rsidR="00D56BCB" w:rsidRPr="00D56BCB" w:rsidRDefault="00D56BCB" w:rsidP="00D56BCB">
      <w:pPr>
        <w:rPr>
          <w:sz w:val="32"/>
          <w:szCs w:val="32"/>
        </w:rPr>
      </w:pPr>
      <w:bookmarkStart w:id="10" w:name="Anchor121"/>
      <w:bookmarkEnd w:id="10"/>
      <w:r w:rsidRPr="00D56BCB">
        <w:rPr>
          <w:sz w:val="32"/>
          <w:szCs w:val="32"/>
          <w:rtl/>
        </w:rPr>
        <w:t xml:space="preserve">وحيث إن الوقائع </w:t>
      </w:r>
      <w:r w:rsidRPr="00D56BCB">
        <w:rPr>
          <w:sz w:val="32"/>
          <w:szCs w:val="32"/>
        </w:rPr>
        <w:t xml:space="preserve">– </w:t>
      </w:r>
      <w:r w:rsidRPr="00D56BCB">
        <w:rPr>
          <w:sz w:val="32"/>
          <w:szCs w:val="32"/>
          <w:rtl/>
        </w:rPr>
        <w:t xml:space="preserve">على ما يبين من الحكم المطعون فيه وسائر الأوراق </w:t>
      </w:r>
      <w:r w:rsidRPr="00D56BCB">
        <w:rPr>
          <w:sz w:val="32"/>
          <w:szCs w:val="32"/>
        </w:rPr>
        <w:t xml:space="preserve">– </w:t>
      </w:r>
      <w:r w:rsidRPr="00D56BCB">
        <w:rPr>
          <w:sz w:val="32"/>
          <w:szCs w:val="32"/>
          <w:rtl/>
        </w:rPr>
        <w:t xml:space="preserve">تتحصل في أن الطاعن أقام على المطعون ضدهم الدعوى رقم </w:t>
      </w:r>
      <w:r w:rsidRPr="00D56BCB">
        <w:rPr>
          <w:sz w:val="32"/>
          <w:szCs w:val="32"/>
        </w:rPr>
        <w:t xml:space="preserve">1108 </w:t>
      </w:r>
      <w:r w:rsidRPr="00D56BCB">
        <w:rPr>
          <w:sz w:val="32"/>
          <w:szCs w:val="32"/>
          <w:rtl/>
        </w:rPr>
        <w:t xml:space="preserve">لسنة </w:t>
      </w:r>
      <w:r w:rsidRPr="00D56BCB">
        <w:rPr>
          <w:sz w:val="32"/>
          <w:szCs w:val="32"/>
        </w:rPr>
        <w:t xml:space="preserve">2007 </w:t>
      </w:r>
      <w:r w:rsidRPr="00D56BCB">
        <w:rPr>
          <w:sz w:val="32"/>
          <w:szCs w:val="32"/>
          <w:rtl/>
        </w:rPr>
        <w:t>تجاري كلي</w:t>
      </w:r>
      <w:r w:rsidRPr="00D56BCB">
        <w:rPr>
          <w:sz w:val="32"/>
          <w:szCs w:val="32"/>
        </w:rPr>
        <w:t xml:space="preserve">- </w:t>
      </w:r>
      <w:r w:rsidRPr="00D56BCB">
        <w:rPr>
          <w:sz w:val="32"/>
          <w:szCs w:val="32"/>
          <w:rtl/>
        </w:rPr>
        <w:t xml:space="preserve">بطلب الحكم بندب خبير لإحتساب مقابل إدارته للشركة منذ تأسيسها حتى تخارجه منها تمهيداً لإلزام المطعون ضدها الأولى بما يسفر عنه تقرير الخبرة مع الفوائد القانونية ، وقال بياناً لدعواه أنه بموجب عقد مؤرخ 1991/10/29 تأسست </w:t>
      </w:r>
      <w:r w:rsidRPr="00D56BCB">
        <w:rPr>
          <w:sz w:val="32"/>
          <w:szCs w:val="32"/>
          <w:rtl/>
        </w:rPr>
        <w:lastRenderedPageBreak/>
        <w:t>الشركة المطعون ضدها الأولى بينه والمطعون ضده الثاني الذي تنازل عن حصته للمطعون ضدها الثالثة ، وبموجب عقد مؤرخ 2002/8/12 تنازل عن حصته للمطعون ضدهما الرابعة والخامسة</w:t>
      </w:r>
      <w:r w:rsidRPr="00D56BCB">
        <w:rPr>
          <w:sz w:val="32"/>
          <w:szCs w:val="32"/>
        </w:rPr>
        <w:t xml:space="preserve"> . </w:t>
      </w:r>
      <w:r w:rsidRPr="00D56BCB">
        <w:rPr>
          <w:sz w:val="32"/>
          <w:szCs w:val="32"/>
          <w:rtl/>
        </w:rPr>
        <w:t>وأنه بموجب البند التاسع من عقد تأسيس الشركة كان يتولى إدارتها حتى تخارجه منها وتقاضى على فتراته مبلغ 500 د.ك شهرياً نظير ذلك، وقد نص البند 15 من عقد تخارجه من الشركة على أحقيته في محاسبة الشركة عن مدة شراكته فيها ومطالبتها بما في ذمتها لصالحه وإذا امتنع المطعون ضده الأخير بصفته وكيلاً عن الشركة عن تصفية حسابه في بند إدارته للشركة . فقد أقام الدعوى</w:t>
      </w:r>
      <w:r w:rsidRPr="00D56BCB">
        <w:rPr>
          <w:sz w:val="32"/>
          <w:szCs w:val="32"/>
        </w:rPr>
        <w:t xml:space="preserve">" </w:t>
      </w:r>
      <w:r w:rsidRPr="00D56BCB">
        <w:rPr>
          <w:sz w:val="32"/>
          <w:szCs w:val="32"/>
          <w:rtl/>
        </w:rPr>
        <w:t>ندبت المحكمة خبيراً وبعد أن أودع تقريره حكمت بعدم اختصاصها نوعياً بنظر الدعوى</w:t>
      </w:r>
      <w:r w:rsidRPr="00D56BCB">
        <w:rPr>
          <w:sz w:val="32"/>
          <w:szCs w:val="32"/>
        </w:rPr>
        <w:t xml:space="preserve"> . </w:t>
      </w:r>
      <w:r w:rsidRPr="00D56BCB">
        <w:rPr>
          <w:sz w:val="32"/>
          <w:szCs w:val="32"/>
          <w:rtl/>
        </w:rPr>
        <w:t>استأنف الطاعن هذا الحكم بالاستئناف رقم 2879 لسنة 2009 تجاري وبتاريخ 2009/11/18 قضت برفض الاستئناف وتأييد الحكم المستأنف . طعن الطاعن في هذا الحكم بطريق التمييز</w:t>
      </w:r>
      <w:r w:rsidRPr="00D56BCB">
        <w:rPr>
          <w:sz w:val="32"/>
          <w:szCs w:val="32"/>
        </w:rPr>
        <w:t xml:space="preserve">. </w:t>
      </w:r>
      <w:r w:rsidRPr="00D56BCB">
        <w:rPr>
          <w:sz w:val="32"/>
          <w:szCs w:val="32"/>
          <w:rtl/>
        </w:rPr>
        <w:t>وأودعت النيابة مذكرة أبدت فيها الرأي برفض الطعن ، وإذ عرض- على هذه المحكمة في غرفة المشورة حددت جلسة لنظره وفيها التزمت النيابة رأيها</w:t>
      </w:r>
      <w:r w:rsidRPr="00D56BCB">
        <w:rPr>
          <w:sz w:val="32"/>
          <w:szCs w:val="32"/>
        </w:rPr>
        <w:t>.</w:t>
      </w:r>
    </w:p>
    <w:p w:rsidR="00D56BCB" w:rsidRPr="00D56BCB" w:rsidRDefault="00D56BCB" w:rsidP="00D56BCB">
      <w:pPr>
        <w:rPr>
          <w:sz w:val="32"/>
          <w:szCs w:val="32"/>
        </w:rPr>
      </w:pPr>
      <w:bookmarkStart w:id="11" w:name="Anchor239"/>
      <w:bookmarkEnd w:id="11"/>
      <w:r w:rsidRPr="00D56BCB">
        <w:rPr>
          <w:sz w:val="32"/>
          <w:szCs w:val="32"/>
          <w:rtl/>
        </w:rPr>
        <w:t>وحيث إن مما ينعاه الطاعن على الحكم المطعون فيه الخطأ في تطبيق القانون والفساد في الاستدلال وفي بيان ذلك يقول أن الثابت بعقد تأسيس الشركة وتعديلاته أنه شريك فيها ومنوط به إدارتها منفرداً وله الحق في إنهاء الشركة في أي وقت مما يدل على أنه رب عمل ولا يتبع أحد في إدارته للشركة ومن ثم ينعقد الاختصاص بنظر الدعوى للدائرة التجارية . إلا أن الحكم الابتدائي المؤيد بالحكم المطعون فيه قضى بعدم اختصاص المحكمة التجارية نوعياً بنظر الدعوى على سند من أن المبالغ المطالب بها مستحقات عمالية ينعقد الاختصاص بنظرها للدائرة العمالية مما يعيبه ويستوجب تمييزه</w:t>
      </w:r>
      <w:r w:rsidRPr="00D56BCB">
        <w:rPr>
          <w:sz w:val="32"/>
          <w:szCs w:val="32"/>
        </w:rPr>
        <w:t>.</w:t>
      </w:r>
    </w:p>
    <w:p w:rsidR="00D56BCB" w:rsidRPr="00D56BCB" w:rsidRDefault="00D56BCB" w:rsidP="00D56BCB">
      <w:pPr>
        <w:rPr>
          <w:sz w:val="32"/>
          <w:szCs w:val="32"/>
        </w:rPr>
      </w:pPr>
      <w:bookmarkStart w:id="12" w:name="Anchor293"/>
      <w:bookmarkEnd w:id="12"/>
      <w:r w:rsidRPr="00D56BCB">
        <w:rPr>
          <w:sz w:val="32"/>
          <w:szCs w:val="32"/>
          <w:rtl/>
        </w:rPr>
        <w:t xml:space="preserve">وحيث أن هذا النعي في محله، ذلك أنه </w:t>
      </w:r>
      <w:bookmarkStart w:id="13" w:name="TM2014_1622_1"/>
      <w:bookmarkEnd w:id="13"/>
      <w:r w:rsidRPr="00D56BCB">
        <w:rPr>
          <w:b/>
          <w:bCs/>
          <w:sz w:val="32"/>
          <w:szCs w:val="32"/>
          <w:rtl/>
        </w:rPr>
        <w:t xml:space="preserve">من المقرر </w:t>
      </w:r>
      <w:r w:rsidRPr="00D56BCB">
        <w:rPr>
          <w:b/>
          <w:bCs/>
          <w:sz w:val="32"/>
          <w:szCs w:val="32"/>
        </w:rPr>
        <w:t xml:space="preserve">– </w:t>
      </w:r>
      <w:r w:rsidRPr="00D56BCB">
        <w:rPr>
          <w:b/>
          <w:bCs/>
          <w:sz w:val="32"/>
          <w:szCs w:val="32"/>
          <w:rtl/>
        </w:rPr>
        <w:t xml:space="preserve">في قضاء هذه المحكمة </w:t>
      </w:r>
      <w:r w:rsidRPr="00D56BCB">
        <w:rPr>
          <w:b/>
          <w:bCs/>
          <w:sz w:val="32"/>
          <w:szCs w:val="32"/>
        </w:rPr>
        <w:t xml:space="preserve">– </w:t>
      </w:r>
      <w:r w:rsidRPr="00D56BCB">
        <w:rPr>
          <w:b/>
          <w:bCs/>
          <w:sz w:val="32"/>
          <w:szCs w:val="32"/>
          <w:rtl/>
        </w:rPr>
        <w:t xml:space="preserve">أن المشرع إنشاء بمقتضى المادة الأولى من المرسوم بقانون رقم </w:t>
      </w:r>
      <w:r w:rsidRPr="00D56BCB">
        <w:rPr>
          <w:b/>
          <w:bCs/>
          <w:sz w:val="32"/>
          <w:szCs w:val="32"/>
        </w:rPr>
        <w:t>46</w:t>
      </w:r>
      <w:r w:rsidRPr="00D56BCB">
        <w:rPr>
          <w:b/>
          <w:bCs/>
          <w:sz w:val="32"/>
          <w:szCs w:val="32"/>
          <w:rtl/>
        </w:rPr>
        <w:t>لسنة 1987 دائرة بالمحكمة الكلية ناط بها دون غيرها الفصل في المنازعات العمالية الناشئة عن تطبيق أحكام القوانين الصادرة في شأن العمل وتنظيم العلاقة بين العمال وأصحاب الأعمال في القطاع الأهلي وقطاع الأعمال النفطية ، وكذلك طلبات التعويض المترتبة على هذه المنازعات ، وهو ما يستلزم</w:t>
      </w:r>
      <w:r w:rsidRPr="00D56BCB">
        <w:rPr>
          <w:b/>
          <w:bCs/>
          <w:sz w:val="32"/>
          <w:szCs w:val="32"/>
        </w:rPr>
        <w:t xml:space="preserve">- </w:t>
      </w:r>
      <w:r w:rsidRPr="00D56BCB">
        <w:rPr>
          <w:b/>
          <w:bCs/>
          <w:sz w:val="32"/>
          <w:szCs w:val="32"/>
          <w:rtl/>
        </w:rPr>
        <w:t xml:space="preserve">وعلى نحو ما أفصحت عنه المذكرة الإيضاحية </w:t>
      </w:r>
      <w:r w:rsidRPr="00D56BCB">
        <w:rPr>
          <w:b/>
          <w:bCs/>
          <w:sz w:val="32"/>
          <w:szCs w:val="32"/>
        </w:rPr>
        <w:t xml:space="preserve">– </w:t>
      </w:r>
      <w:r w:rsidRPr="00D56BCB">
        <w:rPr>
          <w:b/>
          <w:bCs/>
          <w:sz w:val="32"/>
          <w:szCs w:val="32"/>
          <w:rtl/>
        </w:rPr>
        <w:t>أن تكون المنازعة ناشئة عن تطبيق أحكام القانونين المنظمين للعمل في القطاع الأهلي وقطاع الأعمال النفطية أو أي قانون آخر ينظم العلاقة بين العمال وأصحاب الأعمال وكذلك طلبات التعويض المترتبة عليها</w:t>
      </w:r>
      <w:r w:rsidRPr="00D56BCB">
        <w:rPr>
          <w:sz w:val="32"/>
          <w:szCs w:val="32"/>
          <w:rtl/>
        </w:rPr>
        <w:t xml:space="preserve">، كما أنه </w:t>
      </w:r>
      <w:bookmarkStart w:id="14" w:name="TM2014_1622_2"/>
      <w:bookmarkEnd w:id="14"/>
      <w:r w:rsidRPr="00D56BCB">
        <w:rPr>
          <w:b/>
          <w:bCs/>
          <w:sz w:val="32"/>
          <w:szCs w:val="32"/>
          <w:rtl/>
        </w:rPr>
        <w:t xml:space="preserve">من المقرر- أن المناط في تكييف عقد العمل وتمييزه عن غيره من العقود على ما يبين من نص المادة الأولى من القانون رقم 38 لسنة 1964 في شان العمل في القطاع الأهلي </w:t>
      </w:r>
      <w:r w:rsidRPr="00D56BCB">
        <w:rPr>
          <w:b/>
          <w:bCs/>
          <w:sz w:val="32"/>
          <w:szCs w:val="32"/>
        </w:rPr>
        <w:t xml:space="preserve">- </w:t>
      </w:r>
      <w:r w:rsidRPr="00D56BCB">
        <w:rPr>
          <w:b/>
          <w:bCs/>
          <w:sz w:val="32"/>
          <w:szCs w:val="32"/>
          <w:rtl/>
        </w:rPr>
        <w:t>المنطبق على الواقعة هو توافر عنصر التبعية الذي يتمثل في خضوع العامل لرب العمل وإشرافه ورقابته وتعرف هذه التبعية ولئن كان من مسائل الواقع التي يستقل بها قاضي الموضوع إلا أن ذلك مشروط بأن يقيم قضائه على أسباب سائغة</w:t>
      </w:r>
      <w:r w:rsidRPr="00D56BCB">
        <w:rPr>
          <w:b/>
          <w:bCs/>
          <w:sz w:val="32"/>
          <w:szCs w:val="32"/>
        </w:rPr>
        <w:t xml:space="preserve">. </w:t>
      </w:r>
      <w:r w:rsidRPr="00D56BCB">
        <w:rPr>
          <w:sz w:val="32"/>
          <w:szCs w:val="32"/>
          <w:rtl/>
        </w:rPr>
        <w:t>لما كان ذلك</w:t>
      </w:r>
      <w:r w:rsidRPr="00D56BCB">
        <w:rPr>
          <w:b/>
          <w:bCs/>
          <w:sz w:val="32"/>
          <w:szCs w:val="32"/>
          <w:rtl/>
        </w:rPr>
        <w:t xml:space="preserve"> </w:t>
      </w:r>
      <w:bookmarkStart w:id="15" w:name="TM2014_1622_3"/>
      <w:bookmarkEnd w:id="15"/>
      <w:r w:rsidRPr="00D56BCB">
        <w:rPr>
          <w:b/>
          <w:bCs/>
          <w:sz w:val="32"/>
          <w:szCs w:val="32"/>
          <w:rtl/>
        </w:rPr>
        <w:t>وكان الثابت من الأوراق أن الطاعن قد أقام الدعوى بطلب إحتساب باقي مستحقاته مقابل إدارته للشركة المطعون ضدها الأولى في الفترة التي تولى فيها إدارتها إستناداً إلى أن عقد تأسيس الشركة المؤرخ 1991/10/29 المبرم بينه والمطعون ضده الثاني نص على توليه إدارة الشركة وبأحقيته في إنهاء الشراكة في أي وقت، وبالتالي فإنه رب عمل ولا يخضع لإشراف ورقابة أحد وهو ما أشار إليه الخبير المنتدب في الدعوى ، كما أنه لا تربطه بالشركة علاقة عمل مما ينتفي معه عنصر التبعية، ومن ثم فإن المنازعة بهذه المثابة لا تكون ناشئة عن تطبيق أحكام قانون العمل وبالتالي لا يصدق عليها وصف المنازعة العمالية بالمعنى المقصود في هذا الصدد ، ولا تدخل في الإختصاص النوعي للدائرة العمالية بالمحكمة الكلية ، وإذ خالف الحكم المطعون فيه هذا النظر وقضى بتأييد الحكم الإبتدائي الذي حكم بعدم اختصاص المحكمة التجارية نوعياً بنظر الدعوى فإنه يكون قد أخطأ في تطبيق القانون مما يعيبه ويوجب تمييزه دون حاجة لبحث باقي أسباب الطعن</w:t>
      </w:r>
      <w:r w:rsidRPr="00D56BCB">
        <w:rPr>
          <w:b/>
          <w:bCs/>
          <w:sz w:val="32"/>
          <w:szCs w:val="32"/>
        </w:rPr>
        <w:t>.</w:t>
      </w:r>
    </w:p>
    <w:p w:rsidR="00D56BCB" w:rsidRPr="00D56BCB" w:rsidRDefault="00D56BCB" w:rsidP="00D56BCB">
      <w:pPr>
        <w:rPr>
          <w:sz w:val="32"/>
          <w:szCs w:val="32"/>
        </w:rPr>
      </w:pPr>
      <w:bookmarkStart w:id="16" w:name="Anchor486"/>
      <w:bookmarkStart w:id="17" w:name="TM2014_1622_4"/>
      <w:bookmarkEnd w:id="16"/>
      <w:bookmarkEnd w:id="17"/>
      <w:r w:rsidRPr="00D56BCB">
        <w:rPr>
          <w:b/>
          <w:bCs/>
          <w:sz w:val="32"/>
          <w:szCs w:val="32"/>
          <w:rtl/>
        </w:rPr>
        <w:t>وحيث أنه عن موضوع الاستئناف ، ولما تقدم فإنه يتعين القضاء بإلغاء الحكم المستأنف وإعادة الأوراق إلى محكمة أول درجة لاختصاصها بالفصل في موضوع النزاع إذ أنها لم تستنفذ بعد ولايتها وحتى لا يحرم الخصوم من التقاضي على درجتين الأمر المتعلق بالنظام العام</w:t>
      </w:r>
      <w:r w:rsidRPr="00D56BCB">
        <w:rPr>
          <w:b/>
          <w:bCs/>
          <w:sz w:val="32"/>
          <w:szCs w:val="32"/>
        </w:rPr>
        <w:t>.</w:t>
      </w:r>
    </w:p>
    <w:p w:rsidR="00D56BCB" w:rsidRPr="00D56BCB" w:rsidRDefault="00D56BCB" w:rsidP="00D56BCB">
      <w:pPr>
        <w:rPr>
          <w:sz w:val="32"/>
          <w:szCs w:val="32"/>
        </w:rPr>
      </w:pPr>
      <w:bookmarkStart w:id="18" w:name="Anchor511"/>
      <w:bookmarkEnd w:id="18"/>
      <w:r w:rsidRPr="00D56BCB">
        <w:rPr>
          <w:sz w:val="32"/>
          <w:szCs w:val="32"/>
          <w:rtl/>
        </w:rPr>
        <w:t>وحيث أنه عن المصاريف ، فالمحكمة ترجئ البت فيها لحين صدور حكم منهي للخصومة</w:t>
      </w:r>
      <w:r w:rsidRPr="00D56BCB">
        <w:rPr>
          <w:sz w:val="32"/>
          <w:szCs w:val="32"/>
        </w:rPr>
        <w:t>.</w:t>
      </w:r>
    </w:p>
    <w:p w:rsidR="00D56BCB" w:rsidRPr="00D56BCB" w:rsidRDefault="00D56BCB" w:rsidP="00D56BCB">
      <w:pPr>
        <w:rPr>
          <w:sz w:val="32"/>
          <w:szCs w:val="32"/>
        </w:rPr>
      </w:pPr>
      <w:bookmarkStart w:id="19" w:name="Anchor519"/>
      <w:bookmarkEnd w:id="19"/>
      <w:r w:rsidRPr="00D56BCB">
        <w:rPr>
          <w:b/>
          <w:bCs/>
          <w:sz w:val="32"/>
          <w:szCs w:val="32"/>
          <w:rtl/>
        </w:rPr>
        <w:t>لذلك</w:t>
      </w:r>
    </w:p>
    <w:p w:rsidR="00D56BCB" w:rsidRPr="00D56BCB" w:rsidRDefault="00D56BCB" w:rsidP="00D56BCB">
      <w:pPr>
        <w:rPr>
          <w:sz w:val="32"/>
          <w:szCs w:val="32"/>
        </w:rPr>
      </w:pPr>
      <w:bookmarkStart w:id="20" w:name="Anchor520"/>
      <w:bookmarkEnd w:id="20"/>
      <w:r w:rsidRPr="00D56BCB">
        <w:rPr>
          <w:b/>
          <w:bCs/>
          <w:sz w:val="32"/>
          <w:szCs w:val="32"/>
          <w:rtl/>
        </w:rPr>
        <w:t>حكمت المحكمة</w:t>
      </w:r>
      <w:r w:rsidRPr="00D56BCB">
        <w:rPr>
          <w:b/>
          <w:bCs/>
          <w:sz w:val="32"/>
          <w:szCs w:val="32"/>
        </w:rPr>
        <w:t>:</w:t>
      </w:r>
    </w:p>
    <w:p w:rsidR="00D56BCB" w:rsidRPr="00D56BCB" w:rsidRDefault="00D56BCB" w:rsidP="00D56BCB">
      <w:pPr>
        <w:rPr>
          <w:sz w:val="32"/>
          <w:szCs w:val="32"/>
        </w:rPr>
      </w:pPr>
      <w:bookmarkStart w:id="21" w:name="Anchor522"/>
      <w:bookmarkEnd w:id="21"/>
      <w:r w:rsidRPr="00D56BCB">
        <w:rPr>
          <w:b/>
          <w:bCs/>
          <w:sz w:val="32"/>
          <w:szCs w:val="32"/>
          <w:rtl/>
        </w:rPr>
        <w:t>أولاً</w:t>
      </w:r>
      <w:r w:rsidRPr="00D56BCB">
        <w:rPr>
          <w:b/>
          <w:bCs/>
          <w:sz w:val="32"/>
          <w:szCs w:val="32"/>
        </w:rPr>
        <w:t>:</w:t>
      </w:r>
      <w:r w:rsidRPr="00D56BCB">
        <w:rPr>
          <w:sz w:val="32"/>
          <w:szCs w:val="32"/>
        </w:rPr>
        <w:t xml:space="preserve"> </w:t>
      </w:r>
      <w:r w:rsidRPr="00D56BCB">
        <w:rPr>
          <w:sz w:val="32"/>
          <w:szCs w:val="32"/>
          <w:rtl/>
        </w:rPr>
        <w:t>بقبول الطعن شكلاً وفي الموضوع بتمييز الحكم المطعون فيه وألزمت المطعون ضدها الأولى المصروفات وعشرين ديناراً مقابل أتعاب المحاماة</w:t>
      </w:r>
      <w:r w:rsidRPr="00D56BCB">
        <w:rPr>
          <w:sz w:val="32"/>
          <w:szCs w:val="32"/>
        </w:rPr>
        <w:t>.</w:t>
      </w:r>
    </w:p>
    <w:p w:rsidR="00D56BCB" w:rsidRPr="00D56BCB" w:rsidRDefault="00D56BCB" w:rsidP="00D56BCB">
      <w:pPr>
        <w:rPr>
          <w:sz w:val="32"/>
          <w:szCs w:val="32"/>
        </w:rPr>
      </w:pPr>
      <w:bookmarkStart w:id="22" w:name="Anchor536"/>
      <w:bookmarkEnd w:id="22"/>
      <w:r w:rsidRPr="00D56BCB">
        <w:rPr>
          <w:b/>
          <w:bCs/>
          <w:sz w:val="32"/>
          <w:szCs w:val="32"/>
          <w:rtl/>
        </w:rPr>
        <w:t>ثانياً</w:t>
      </w:r>
      <w:r w:rsidRPr="00D56BCB">
        <w:rPr>
          <w:b/>
          <w:bCs/>
          <w:sz w:val="32"/>
          <w:szCs w:val="32"/>
        </w:rPr>
        <w:t>:</w:t>
      </w:r>
      <w:r w:rsidRPr="00D56BCB">
        <w:rPr>
          <w:sz w:val="32"/>
          <w:szCs w:val="32"/>
        </w:rPr>
        <w:t xml:space="preserve"> </w:t>
      </w:r>
      <w:r w:rsidRPr="00D56BCB">
        <w:rPr>
          <w:sz w:val="32"/>
          <w:szCs w:val="32"/>
          <w:rtl/>
        </w:rPr>
        <w:t>في موضوع الاستئناف بإلغاء الحكم المستأنف وإعادة الأوراق إلى محكمة أول درجة الدائرة التجارية لاختصاصها بالفصل في موضوع الدعوى</w:t>
      </w:r>
      <w:r w:rsidRPr="00D56BCB">
        <w:rPr>
          <w:sz w:val="32"/>
          <w:szCs w:val="32"/>
        </w:rPr>
        <w:t xml:space="preserve"> . </w:t>
      </w:r>
      <w:r w:rsidRPr="00D56BCB">
        <w:rPr>
          <w:sz w:val="32"/>
          <w:szCs w:val="32"/>
          <w:rtl/>
        </w:rPr>
        <w:t>وأبقت الفصل في المصروفات</w:t>
      </w:r>
      <w:r w:rsidRPr="00D56BCB">
        <w:rPr>
          <w:sz w:val="32"/>
          <w:szCs w:val="32"/>
        </w:rPr>
        <w:t>.</w:t>
      </w:r>
    </w:p>
    <w:p w:rsidR="00D56BCB" w:rsidRPr="00D56BCB" w:rsidRDefault="00D56BCB" w:rsidP="00D56BCB">
      <w:pPr>
        <w:rPr>
          <w:sz w:val="32"/>
          <w:szCs w:val="32"/>
        </w:rPr>
      </w:pPr>
    </w:p>
    <w:p w:rsidR="00D56BCB" w:rsidRPr="00D56BCB" w:rsidRDefault="00D56BCB" w:rsidP="00D56BCB">
      <w:pPr>
        <w:rPr>
          <w:sz w:val="32"/>
          <w:szCs w:val="32"/>
        </w:rPr>
      </w:pPr>
      <w:bookmarkStart w:id="23" w:name="Anchor553"/>
      <w:bookmarkEnd w:id="23"/>
      <w:r w:rsidRPr="00D56BCB">
        <w:rPr>
          <w:sz w:val="32"/>
          <w:szCs w:val="32"/>
        </w:rPr>
        <w:t>* * *</w:t>
      </w:r>
    </w:p>
    <w:p w:rsidR="008C2BA0" w:rsidRPr="00D56BCB" w:rsidRDefault="008C2BA0">
      <w:pPr>
        <w:rPr>
          <w:sz w:val="32"/>
          <w:szCs w:val="32"/>
        </w:rPr>
      </w:pPr>
    </w:p>
    <w:sectPr w:rsidR="008C2BA0" w:rsidRPr="00D56BC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57"/>
    <w:rsid w:val="0003272B"/>
    <w:rsid w:val="008C2BA0"/>
    <w:rsid w:val="00D56BCB"/>
    <w:rsid w:val="00E26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B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500534">
      <w:bodyDiv w:val="1"/>
      <w:marLeft w:val="0"/>
      <w:marRight w:val="0"/>
      <w:marTop w:val="0"/>
      <w:marBottom w:val="0"/>
      <w:divBdr>
        <w:top w:val="none" w:sz="0" w:space="0" w:color="auto"/>
        <w:left w:val="none" w:sz="0" w:space="0" w:color="auto"/>
        <w:bottom w:val="none" w:sz="0" w:space="0" w:color="auto"/>
        <w:right w:val="none" w:sz="0" w:space="0" w:color="auto"/>
      </w:divBdr>
      <w:divsChild>
        <w:div w:id="344132017">
          <w:marLeft w:val="0"/>
          <w:marRight w:val="0"/>
          <w:marTop w:val="0"/>
          <w:marBottom w:val="0"/>
          <w:divBdr>
            <w:top w:val="none" w:sz="0" w:space="0" w:color="auto"/>
            <w:left w:val="none" w:sz="0" w:space="0" w:color="auto"/>
            <w:bottom w:val="none" w:sz="0" w:space="0" w:color="auto"/>
            <w:right w:val="none" w:sz="0" w:space="0" w:color="auto"/>
          </w:divBdr>
        </w:div>
        <w:div w:id="1585533620">
          <w:marLeft w:val="0"/>
          <w:marRight w:val="0"/>
          <w:marTop w:val="0"/>
          <w:marBottom w:val="0"/>
          <w:divBdr>
            <w:top w:val="none" w:sz="0" w:space="0" w:color="auto"/>
            <w:left w:val="none" w:sz="0" w:space="0" w:color="auto"/>
            <w:bottom w:val="none" w:sz="0" w:space="0" w:color="auto"/>
            <w:right w:val="none" w:sz="0" w:space="0" w:color="auto"/>
          </w:divBdr>
        </w:div>
        <w:div w:id="1441224122">
          <w:marLeft w:val="0"/>
          <w:marRight w:val="0"/>
          <w:marTop w:val="0"/>
          <w:marBottom w:val="0"/>
          <w:divBdr>
            <w:top w:val="none" w:sz="0" w:space="0" w:color="auto"/>
            <w:left w:val="none" w:sz="0" w:space="0" w:color="auto"/>
            <w:bottom w:val="none" w:sz="0" w:space="0" w:color="auto"/>
            <w:right w:val="none" w:sz="0" w:space="0" w:color="auto"/>
          </w:divBdr>
        </w:div>
        <w:div w:id="1585381653">
          <w:marLeft w:val="0"/>
          <w:marRight w:val="0"/>
          <w:marTop w:val="0"/>
          <w:marBottom w:val="0"/>
          <w:divBdr>
            <w:top w:val="none" w:sz="0" w:space="0" w:color="auto"/>
            <w:left w:val="none" w:sz="0" w:space="0" w:color="auto"/>
            <w:bottom w:val="none" w:sz="0" w:space="0" w:color="auto"/>
            <w:right w:val="none" w:sz="0" w:space="0" w:color="auto"/>
          </w:divBdr>
        </w:div>
        <w:div w:id="266624497">
          <w:marLeft w:val="0"/>
          <w:marRight w:val="0"/>
          <w:marTop w:val="0"/>
          <w:marBottom w:val="0"/>
          <w:divBdr>
            <w:top w:val="none" w:sz="0" w:space="0" w:color="auto"/>
            <w:left w:val="none" w:sz="0" w:space="0" w:color="auto"/>
            <w:bottom w:val="none" w:sz="0" w:space="0" w:color="auto"/>
            <w:right w:val="none" w:sz="0" w:space="0" w:color="auto"/>
          </w:divBdr>
        </w:div>
        <w:div w:id="241720676">
          <w:marLeft w:val="0"/>
          <w:marRight w:val="0"/>
          <w:marTop w:val="0"/>
          <w:marBottom w:val="0"/>
          <w:divBdr>
            <w:top w:val="none" w:sz="0" w:space="0" w:color="auto"/>
            <w:left w:val="none" w:sz="0" w:space="0" w:color="auto"/>
            <w:bottom w:val="none" w:sz="0" w:space="0" w:color="auto"/>
            <w:right w:val="none" w:sz="0" w:space="0" w:color="auto"/>
          </w:divBdr>
        </w:div>
        <w:div w:id="1921059778">
          <w:marLeft w:val="0"/>
          <w:marRight w:val="0"/>
          <w:marTop w:val="0"/>
          <w:marBottom w:val="0"/>
          <w:divBdr>
            <w:top w:val="none" w:sz="0" w:space="0" w:color="auto"/>
            <w:left w:val="none" w:sz="0" w:space="0" w:color="auto"/>
            <w:bottom w:val="none" w:sz="0" w:space="0" w:color="auto"/>
            <w:right w:val="none" w:sz="0" w:space="0" w:color="auto"/>
          </w:divBdr>
        </w:div>
        <w:div w:id="748384111">
          <w:marLeft w:val="0"/>
          <w:marRight w:val="0"/>
          <w:marTop w:val="0"/>
          <w:marBottom w:val="0"/>
          <w:divBdr>
            <w:top w:val="none" w:sz="0" w:space="0" w:color="auto"/>
            <w:left w:val="none" w:sz="0" w:space="0" w:color="auto"/>
            <w:bottom w:val="none" w:sz="0" w:space="0" w:color="auto"/>
            <w:right w:val="none" w:sz="0" w:space="0" w:color="auto"/>
          </w:divBdr>
        </w:div>
        <w:div w:id="750851899">
          <w:marLeft w:val="0"/>
          <w:marRight w:val="0"/>
          <w:marTop w:val="0"/>
          <w:marBottom w:val="0"/>
          <w:divBdr>
            <w:top w:val="none" w:sz="0" w:space="0" w:color="auto"/>
            <w:left w:val="none" w:sz="0" w:space="0" w:color="auto"/>
            <w:bottom w:val="none" w:sz="0" w:space="0" w:color="auto"/>
            <w:right w:val="none" w:sz="0" w:space="0" w:color="auto"/>
          </w:divBdr>
        </w:div>
        <w:div w:id="1367100634">
          <w:marLeft w:val="0"/>
          <w:marRight w:val="0"/>
          <w:marTop w:val="0"/>
          <w:marBottom w:val="0"/>
          <w:divBdr>
            <w:top w:val="none" w:sz="0" w:space="0" w:color="auto"/>
            <w:left w:val="none" w:sz="0" w:space="0" w:color="auto"/>
            <w:bottom w:val="none" w:sz="0" w:space="0" w:color="auto"/>
            <w:right w:val="none" w:sz="0" w:space="0" w:color="auto"/>
          </w:divBdr>
        </w:div>
        <w:div w:id="1596865201">
          <w:marLeft w:val="0"/>
          <w:marRight w:val="0"/>
          <w:marTop w:val="0"/>
          <w:marBottom w:val="0"/>
          <w:divBdr>
            <w:top w:val="none" w:sz="0" w:space="0" w:color="auto"/>
            <w:left w:val="none" w:sz="0" w:space="0" w:color="auto"/>
            <w:bottom w:val="none" w:sz="0" w:space="0" w:color="auto"/>
            <w:right w:val="none" w:sz="0" w:space="0" w:color="auto"/>
          </w:divBdr>
        </w:div>
        <w:div w:id="622007078">
          <w:marLeft w:val="0"/>
          <w:marRight w:val="0"/>
          <w:marTop w:val="0"/>
          <w:marBottom w:val="0"/>
          <w:divBdr>
            <w:top w:val="none" w:sz="0" w:space="0" w:color="auto"/>
            <w:left w:val="none" w:sz="0" w:space="0" w:color="auto"/>
            <w:bottom w:val="none" w:sz="0" w:space="0" w:color="auto"/>
            <w:right w:val="none" w:sz="0" w:space="0" w:color="auto"/>
          </w:divBdr>
        </w:div>
        <w:div w:id="498272727">
          <w:marLeft w:val="0"/>
          <w:marRight w:val="0"/>
          <w:marTop w:val="0"/>
          <w:marBottom w:val="0"/>
          <w:divBdr>
            <w:top w:val="none" w:sz="0" w:space="0" w:color="auto"/>
            <w:left w:val="none" w:sz="0" w:space="0" w:color="auto"/>
            <w:bottom w:val="none" w:sz="0" w:space="0" w:color="auto"/>
            <w:right w:val="none" w:sz="0" w:space="0" w:color="auto"/>
          </w:divBdr>
        </w:div>
        <w:div w:id="237442798">
          <w:marLeft w:val="0"/>
          <w:marRight w:val="0"/>
          <w:marTop w:val="0"/>
          <w:marBottom w:val="0"/>
          <w:divBdr>
            <w:top w:val="none" w:sz="0" w:space="0" w:color="auto"/>
            <w:left w:val="none" w:sz="0" w:space="0" w:color="auto"/>
            <w:bottom w:val="none" w:sz="0" w:space="0" w:color="auto"/>
            <w:right w:val="none" w:sz="0" w:space="0" w:color="auto"/>
          </w:divBdr>
        </w:div>
        <w:div w:id="1225948549">
          <w:marLeft w:val="0"/>
          <w:marRight w:val="0"/>
          <w:marTop w:val="0"/>
          <w:marBottom w:val="0"/>
          <w:divBdr>
            <w:top w:val="none" w:sz="0" w:space="0" w:color="auto"/>
            <w:left w:val="none" w:sz="0" w:space="0" w:color="auto"/>
            <w:bottom w:val="none" w:sz="0" w:space="0" w:color="auto"/>
            <w:right w:val="none" w:sz="0" w:space="0" w:color="auto"/>
          </w:divBdr>
        </w:div>
        <w:div w:id="2057119252">
          <w:marLeft w:val="0"/>
          <w:marRight w:val="0"/>
          <w:marTop w:val="0"/>
          <w:marBottom w:val="0"/>
          <w:divBdr>
            <w:top w:val="none" w:sz="0" w:space="0" w:color="auto"/>
            <w:left w:val="none" w:sz="0" w:space="0" w:color="auto"/>
            <w:bottom w:val="none" w:sz="0" w:space="0" w:color="auto"/>
            <w:right w:val="none" w:sz="0" w:space="0" w:color="auto"/>
          </w:divBdr>
        </w:div>
        <w:div w:id="1854687018">
          <w:marLeft w:val="0"/>
          <w:marRight w:val="0"/>
          <w:marTop w:val="0"/>
          <w:marBottom w:val="0"/>
          <w:divBdr>
            <w:top w:val="none" w:sz="0" w:space="0" w:color="auto"/>
            <w:left w:val="none" w:sz="0" w:space="0" w:color="auto"/>
            <w:bottom w:val="none" w:sz="0" w:space="0" w:color="auto"/>
            <w:right w:val="none" w:sz="0" w:space="0" w:color="auto"/>
          </w:divBdr>
        </w:div>
        <w:div w:id="817261007">
          <w:marLeft w:val="0"/>
          <w:marRight w:val="0"/>
          <w:marTop w:val="0"/>
          <w:marBottom w:val="0"/>
          <w:divBdr>
            <w:top w:val="none" w:sz="0" w:space="0" w:color="auto"/>
            <w:left w:val="none" w:sz="0" w:space="0" w:color="auto"/>
            <w:bottom w:val="none" w:sz="0" w:space="0" w:color="auto"/>
            <w:right w:val="none" w:sz="0" w:space="0" w:color="auto"/>
          </w:divBdr>
        </w:div>
        <w:div w:id="1214270721">
          <w:marLeft w:val="0"/>
          <w:marRight w:val="0"/>
          <w:marTop w:val="0"/>
          <w:marBottom w:val="0"/>
          <w:divBdr>
            <w:top w:val="none" w:sz="0" w:space="0" w:color="auto"/>
            <w:left w:val="none" w:sz="0" w:space="0" w:color="auto"/>
            <w:bottom w:val="none" w:sz="0" w:space="0" w:color="auto"/>
            <w:right w:val="none" w:sz="0" w:space="0" w:color="auto"/>
          </w:divBdr>
        </w:div>
      </w:divsChild>
    </w:div>
    <w:div w:id="1925453013">
      <w:bodyDiv w:val="1"/>
      <w:marLeft w:val="0"/>
      <w:marRight w:val="0"/>
      <w:marTop w:val="0"/>
      <w:marBottom w:val="0"/>
      <w:divBdr>
        <w:top w:val="none" w:sz="0" w:space="0" w:color="auto"/>
        <w:left w:val="none" w:sz="0" w:space="0" w:color="auto"/>
        <w:bottom w:val="none" w:sz="0" w:space="0" w:color="auto"/>
        <w:right w:val="none" w:sz="0" w:space="0" w:color="auto"/>
      </w:divBdr>
      <w:divsChild>
        <w:div w:id="20514162">
          <w:marLeft w:val="0"/>
          <w:marRight w:val="0"/>
          <w:marTop w:val="0"/>
          <w:marBottom w:val="0"/>
          <w:divBdr>
            <w:top w:val="none" w:sz="0" w:space="0" w:color="auto"/>
            <w:left w:val="none" w:sz="0" w:space="0" w:color="auto"/>
            <w:bottom w:val="none" w:sz="0" w:space="0" w:color="auto"/>
            <w:right w:val="none" w:sz="0" w:space="0" w:color="auto"/>
          </w:divBdr>
        </w:div>
        <w:div w:id="1706248785">
          <w:marLeft w:val="0"/>
          <w:marRight w:val="0"/>
          <w:marTop w:val="0"/>
          <w:marBottom w:val="0"/>
          <w:divBdr>
            <w:top w:val="none" w:sz="0" w:space="0" w:color="auto"/>
            <w:left w:val="none" w:sz="0" w:space="0" w:color="auto"/>
            <w:bottom w:val="none" w:sz="0" w:space="0" w:color="auto"/>
            <w:right w:val="none" w:sz="0" w:space="0" w:color="auto"/>
          </w:divBdr>
        </w:div>
        <w:div w:id="842276741">
          <w:marLeft w:val="0"/>
          <w:marRight w:val="0"/>
          <w:marTop w:val="0"/>
          <w:marBottom w:val="0"/>
          <w:divBdr>
            <w:top w:val="none" w:sz="0" w:space="0" w:color="auto"/>
            <w:left w:val="none" w:sz="0" w:space="0" w:color="auto"/>
            <w:bottom w:val="none" w:sz="0" w:space="0" w:color="auto"/>
            <w:right w:val="none" w:sz="0" w:space="0" w:color="auto"/>
          </w:divBdr>
        </w:div>
        <w:div w:id="1101148617">
          <w:marLeft w:val="0"/>
          <w:marRight w:val="0"/>
          <w:marTop w:val="0"/>
          <w:marBottom w:val="0"/>
          <w:divBdr>
            <w:top w:val="none" w:sz="0" w:space="0" w:color="auto"/>
            <w:left w:val="none" w:sz="0" w:space="0" w:color="auto"/>
            <w:bottom w:val="none" w:sz="0" w:space="0" w:color="auto"/>
            <w:right w:val="none" w:sz="0" w:space="0" w:color="auto"/>
          </w:divBdr>
        </w:div>
        <w:div w:id="1933850309">
          <w:marLeft w:val="0"/>
          <w:marRight w:val="0"/>
          <w:marTop w:val="0"/>
          <w:marBottom w:val="0"/>
          <w:divBdr>
            <w:top w:val="none" w:sz="0" w:space="0" w:color="auto"/>
            <w:left w:val="none" w:sz="0" w:space="0" w:color="auto"/>
            <w:bottom w:val="none" w:sz="0" w:space="0" w:color="auto"/>
            <w:right w:val="none" w:sz="0" w:space="0" w:color="auto"/>
          </w:divBdr>
        </w:div>
        <w:div w:id="834145975">
          <w:marLeft w:val="0"/>
          <w:marRight w:val="0"/>
          <w:marTop w:val="0"/>
          <w:marBottom w:val="0"/>
          <w:divBdr>
            <w:top w:val="none" w:sz="0" w:space="0" w:color="auto"/>
            <w:left w:val="none" w:sz="0" w:space="0" w:color="auto"/>
            <w:bottom w:val="none" w:sz="0" w:space="0" w:color="auto"/>
            <w:right w:val="none" w:sz="0" w:space="0" w:color="auto"/>
          </w:divBdr>
        </w:div>
        <w:div w:id="146409464">
          <w:marLeft w:val="0"/>
          <w:marRight w:val="0"/>
          <w:marTop w:val="0"/>
          <w:marBottom w:val="0"/>
          <w:divBdr>
            <w:top w:val="none" w:sz="0" w:space="0" w:color="auto"/>
            <w:left w:val="none" w:sz="0" w:space="0" w:color="auto"/>
            <w:bottom w:val="none" w:sz="0" w:space="0" w:color="auto"/>
            <w:right w:val="none" w:sz="0" w:space="0" w:color="auto"/>
          </w:divBdr>
        </w:div>
        <w:div w:id="1237478750">
          <w:marLeft w:val="0"/>
          <w:marRight w:val="0"/>
          <w:marTop w:val="0"/>
          <w:marBottom w:val="0"/>
          <w:divBdr>
            <w:top w:val="none" w:sz="0" w:space="0" w:color="auto"/>
            <w:left w:val="none" w:sz="0" w:space="0" w:color="auto"/>
            <w:bottom w:val="none" w:sz="0" w:space="0" w:color="auto"/>
            <w:right w:val="none" w:sz="0" w:space="0" w:color="auto"/>
          </w:divBdr>
        </w:div>
        <w:div w:id="1224213798">
          <w:marLeft w:val="0"/>
          <w:marRight w:val="0"/>
          <w:marTop w:val="0"/>
          <w:marBottom w:val="0"/>
          <w:divBdr>
            <w:top w:val="none" w:sz="0" w:space="0" w:color="auto"/>
            <w:left w:val="none" w:sz="0" w:space="0" w:color="auto"/>
            <w:bottom w:val="none" w:sz="0" w:space="0" w:color="auto"/>
            <w:right w:val="none" w:sz="0" w:space="0" w:color="auto"/>
          </w:divBdr>
        </w:div>
        <w:div w:id="482698838">
          <w:marLeft w:val="0"/>
          <w:marRight w:val="0"/>
          <w:marTop w:val="0"/>
          <w:marBottom w:val="0"/>
          <w:divBdr>
            <w:top w:val="none" w:sz="0" w:space="0" w:color="auto"/>
            <w:left w:val="none" w:sz="0" w:space="0" w:color="auto"/>
            <w:bottom w:val="none" w:sz="0" w:space="0" w:color="auto"/>
            <w:right w:val="none" w:sz="0" w:space="0" w:color="auto"/>
          </w:divBdr>
        </w:div>
        <w:div w:id="307589328">
          <w:marLeft w:val="0"/>
          <w:marRight w:val="0"/>
          <w:marTop w:val="0"/>
          <w:marBottom w:val="0"/>
          <w:divBdr>
            <w:top w:val="none" w:sz="0" w:space="0" w:color="auto"/>
            <w:left w:val="none" w:sz="0" w:space="0" w:color="auto"/>
            <w:bottom w:val="none" w:sz="0" w:space="0" w:color="auto"/>
            <w:right w:val="none" w:sz="0" w:space="0" w:color="auto"/>
          </w:divBdr>
        </w:div>
        <w:div w:id="2105488120">
          <w:marLeft w:val="0"/>
          <w:marRight w:val="0"/>
          <w:marTop w:val="0"/>
          <w:marBottom w:val="0"/>
          <w:divBdr>
            <w:top w:val="none" w:sz="0" w:space="0" w:color="auto"/>
            <w:left w:val="none" w:sz="0" w:space="0" w:color="auto"/>
            <w:bottom w:val="none" w:sz="0" w:space="0" w:color="auto"/>
            <w:right w:val="none" w:sz="0" w:space="0" w:color="auto"/>
          </w:divBdr>
        </w:div>
        <w:div w:id="1889951661">
          <w:marLeft w:val="0"/>
          <w:marRight w:val="0"/>
          <w:marTop w:val="0"/>
          <w:marBottom w:val="0"/>
          <w:divBdr>
            <w:top w:val="none" w:sz="0" w:space="0" w:color="auto"/>
            <w:left w:val="none" w:sz="0" w:space="0" w:color="auto"/>
            <w:bottom w:val="none" w:sz="0" w:space="0" w:color="auto"/>
            <w:right w:val="none" w:sz="0" w:space="0" w:color="auto"/>
          </w:divBdr>
        </w:div>
        <w:div w:id="22443433">
          <w:marLeft w:val="0"/>
          <w:marRight w:val="0"/>
          <w:marTop w:val="0"/>
          <w:marBottom w:val="0"/>
          <w:divBdr>
            <w:top w:val="none" w:sz="0" w:space="0" w:color="auto"/>
            <w:left w:val="none" w:sz="0" w:space="0" w:color="auto"/>
            <w:bottom w:val="none" w:sz="0" w:space="0" w:color="auto"/>
            <w:right w:val="none" w:sz="0" w:space="0" w:color="auto"/>
          </w:divBdr>
        </w:div>
        <w:div w:id="1974670587">
          <w:marLeft w:val="0"/>
          <w:marRight w:val="0"/>
          <w:marTop w:val="0"/>
          <w:marBottom w:val="0"/>
          <w:divBdr>
            <w:top w:val="none" w:sz="0" w:space="0" w:color="auto"/>
            <w:left w:val="none" w:sz="0" w:space="0" w:color="auto"/>
            <w:bottom w:val="none" w:sz="0" w:space="0" w:color="auto"/>
            <w:right w:val="none" w:sz="0" w:space="0" w:color="auto"/>
          </w:divBdr>
        </w:div>
        <w:div w:id="2009936926">
          <w:marLeft w:val="0"/>
          <w:marRight w:val="0"/>
          <w:marTop w:val="0"/>
          <w:marBottom w:val="0"/>
          <w:divBdr>
            <w:top w:val="none" w:sz="0" w:space="0" w:color="auto"/>
            <w:left w:val="none" w:sz="0" w:space="0" w:color="auto"/>
            <w:bottom w:val="none" w:sz="0" w:space="0" w:color="auto"/>
            <w:right w:val="none" w:sz="0" w:space="0" w:color="auto"/>
          </w:divBdr>
        </w:div>
        <w:div w:id="2065520587">
          <w:marLeft w:val="0"/>
          <w:marRight w:val="0"/>
          <w:marTop w:val="0"/>
          <w:marBottom w:val="0"/>
          <w:divBdr>
            <w:top w:val="none" w:sz="0" w:space="0" w:color="auto"/>
            <w:left w:val="none" w:sz="0" w:space="0" w:color="auto"/>
            <w:bottom w:val="none" w:sz="0" w:space="0" w:color="auto"/>
            <w:right w:val="none" w:sz="0" w:space="0" w:color="auto"/>
          </w:divBdr>
        </w:div>
        <w:div w:id="432937729">
          <w:marLeft w:val="0"/>
          <w:marRight w:val="0"/>
          <w:marTop w:val="0"/>
          <w:marBottom w:val="0"/>
          <w:divBdr>
            <w:top w:val="none" w:sz="0" w:space="0" w:color="auto"/>
            <w:left w:val="none" w:sz="0" w:space="0" w:color="auto"/>
            <w:bottom w:val="none" w:sz="0" w:space="0" w:color="auto"/>
            <w:right w:val="none" w:sz="0" w:space="0" w:color="auto"/>
          </w:divBdr>
        </w:div>
        <w:div w:id="2071533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5421</Characters>
  <Application>Microsoft Office Word</Application>
  <DocSecurity>0</DocSecurity>
  <Lines>45</Lines>
  <Paragraphs>12</Paragraphs>
  <ScaleCrop>false</ScaleCrop>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2020-04-26T11:25:00Z</dcterms:created>
  <dcterms:modified xsi:type="dcterms:W3CDTF">2020-04-26T11:25:00Z</dcterms:modified>
</cp:coreProperties>
</file>