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803" w:rsidRPr="00856803" w:rsidRDefault="00856803" w:rsidP="00856803">
      <w:pPr>
        <w:jc w:val="center"/>
        <w:rPr>
          <w:sz w:val="32"/>
          <w:szCs w:val="32"/>
        </w:rPr>
      </w:pPr>
      <w:bookmarkStart w:id="0" w:name="Anchor1"/>
      <w:bookmarkEnd w:id="0"/>
      <w:r w:rsidRPr="00856803">
        <w:rPr>
          <w:sz w:val="32"/>
          <w:szCs w:val="32"/>
          <w:rtl/>
        </w:rPr>
        <w:t xml:space="preserve">الطعن </w:t>
      </w:r>
      <w:bookmarkStart w:id="1" w:name="_GoBack"/>
      <w:bookmarkEnd w:id="1"/>
      <w:r w:rsidRPr="00856803">
        <w:rPr>
          <w:sz w:val="32"/>
          <w:szCs w:val="32"/>
          <w:rtl/>
        </w:rPr>
        <w:t xml:space="preserve">رقم 1626 لسنة </w:t>
      </w:r>
      <w:r w:rsidRPr="00856803">
        <w:rPr>
          <w:sz w:val="32"/>
          <w:szCs w:val="32"/>
        </w:rPr>
        <w:t>2013</w:t>
      </w:r>
    </w:p>
    <w:p w:rsidR="00856803" w:rsidRPr="00856803" w:rsidRDefault="00856803" w:rsidP="00856803">
      <w:pPr>
        <w:rPr>
          <w:sz w:val="32"/>
          <w:szCs w:val="32"/>
        </w:rPr>
      </w:pPr>
      <w:bookmarkStart w:id="2" w:name="Anchor8"/>
      <w:bookmarkEnd w:id="2"/>
      <w:r w:rsidRPr="00856803">
        <w:rPr>
          <w:sz w:val="32"/>
          <w:szCs w:val="32"/>
          <w:rtl/>
        </w:rPr>
        <w:t>هيئة المحكمة</w:t>
      </w:r>
      <w:r w:rsidRPr="00856803">
        <w:rPr>
          <w:sz w:val="32"/>
          <w:szCs w:val="32"/>
        </w:rPr>
        <w:t xml:space="preserve">: </w:t>
      </w:r>
      <w:r w:rsidRPr="00856803">
        <w:rPr>
          <w:sz w:val="32"/>
          <w:szCs w:val="32"/>
          <w:rtl/>
        </w:rPr>
        <w:t>برئاسة السيد المستشار ممدوح القزاز وكيل المحكمة وعضوية السادة المستشارين عبدالصبور خلف الله وفراج عباس وأحمد ابوضيف وعلي مرغني</w:t>
      </w:r>
    </w:p>
    <w:bookmarkStart w:id="3" w:name="Anchor22"/>
    <w:bookmarkEnd w:id="3"/>
    <w:p w:rsidR="00856803" w:rsidRPr="00856803" w:rsidRDefault="00856803" w:rsidP="00856803">
      <w:pPr>
        <w:rPr>
          <w:sz w:val="32"/>
          <w:szCs w:val="32"/>
        </w:rPr>
      </w:pPr>
      <w:r w:rsidRPr="00856803">
        <w:rPr>
          <w:sz w:val="32"/>
          <w:szCs w:val="32"/>
        </w:rPr>
        <w:fldChar w:fldCharType="begin"/>
      </w:r>
      <w:r w:rsidRPr="00856803">
        <w:rPr>
          <w:sz w:val="32"/>
          <w:szCs w:val="32"/>
        </w:rPr>
        <w:instrText xml:space="preserve"> HYPERLINK "http://www.law.gov.kw/KWT_CC-Ar/00_2014/00_%D8%A7%D9%84%D8%AF%D8%A7%D8%A6%D8%B1%D8%A9%20%D8%A7%D9%84%D8%AA%D8%AC%D8%A7%D8%B1%D9%8A%D8%A9/KWT-CC-Ar_2014-04-30_01626_Taan.html" \l "TM2014_1626_1" </w:instrText>
      </w:r>
      <w:r w:rsidRPr="00856803">
        <w:rPr>
          <w:sz w:val="32"/>
          <w:szCs w:val="32"/>
        </w:rPr>
        <w:fldChar w:fldCharType="separate"/>
      </w:r>
      <w:r w:rsidRPr="00856803">
        <w:rPr>
          <w:rStyle w:val="Hyperlink"/>
          <w:sz w:val="32"/>
          <w:szCs w:val="32"/>
        </w:rPr>
        <w:t xml:space="preserve">1 – </w:t>
      </w:r>
      <w:r w:rsidRPr="00856803">
        <w:rPr>
          <w:rStyle w:val="Hyperlink"/>
          <w:sz w:val="32"/>
          <w:szCs w:val="32"/>
          <w:rtl/>
        </w:rPr>
        <w:t>ان التعرف على مدى سعة الوكالة من تصرفات قانونية خول الموكل الوكيل اجراءها يتحدد بالرجوع الى عبارات التوكيل ذاته</w:t>
      </w:r>
      <w:r w:rsidRPr="00856803">
        <w:rPr>
          <w:rStyle w:val="Hyperlink"/>
          <w:sz w:val="32"/>
          <w:szCs w:val="32"/>
        </w:rPr>
        <w:t>.</w:t>
      </w:r>
      <w:r w:rsidRPr="00856803">
        <w:rPr>
          <w:sz w:val="32"/>
          <w:szCs w:val="32"/>
        </w:rPr>
        <w:fldChar w:fldCharType="end"/>
      </w:r>
    </w:p>
    <w:bookmarkStart w:id="4" w:name="Anchor37"/>
    <w:bookmarkEnd w:id="4"/>
    <w:p w:rsidR="00856803" w:rsidRPr="00856803" w:rsidRDefault="00856803" w:rsidP="00856803">
      <w:pPr>
        <w:rPr>
          <w:sz w:val="32"/>
          <w:szCs w:val="32"/>
        </w:rPr>
      </w:pPr>
      <w:r w:rsidRPr="00856803">
        <w:rPr>
          <w:sz w:val="32"/>
          <w:szCs w:val="32"/>
        </w:rPr>
        <w:fldChar w:fldCharType="begin"/>
      </w:r>
      <w:r w:rsidRPr="00856803">
        <w:rPr>
          <w:sz w:val="32"/>
          <w:szCs w:val="32"/>
        </w:rPr>
        <w:instrText xml:space="preserve"> HYPERLINK "http://www.law.gov.kw/KWT_CC-Ar/00_2014/00_%D8%A7%D9%84%D8%AF%D8%A7%D8%A6%D8%B1%D8%A9%20%D8%A7%D9%84%D8%AA%D8%AC%D8%A7%D8%B1%D9%8A%D8%A9/KWT-CC-Ar_2014-04-30_01626_Taan.html" \l "TM2014_1626_2" </w:instrText>
      </w:r>
      <w:r w:rsidRPr="00856803">
        <w:rPr>
          <w:sz w:val="32"/>
          <w:szCs w:val="32"/>
        </w:rPr>
        <w:fldChar w:fldCharType="separate"/>
      </w:r>
      <w:r w:rsidRPr="00856803">
        <w:rPr>
          <w:rStyle w:val="Hyperlink"/>
          <w:sz w:val="32"/>
          <w:szCs w:val="32"/>
        </w:rPr>
        <w:t xml:space="preserve">2 – </w:t>
      </w:r>
      <w:r w:rsidRPr="00856803">
        <w:rPr>
          <w:rStyle w:val="Hyperlink"/>
          <w:sz w:val="32"/>
          <w:szCs w:val="32"/>
          <w:rtl/>
        </w:rPr>
        <w:t>ان لقاضي الموضوع سلطة التعرف على مدى سعة الوكالة من عباراتها بغير معقب ما دام تفسيره واقعا على توكيل قائم وتحتمله عباراته</w:t>
      </w:r>
      <w:r w:rsidRPr="00856803">
        <w:rPr>
          <w:rStyle w:val="Hyperlink"/>
          <w:sz w:val="32"/>
          <w:szCs w:val="32"/>
        </w:rPr>
        <w:t>.</w:t>
      </w:r>
      <w:r w:rsidRPr="00856803">
        <w:rPr>
          <w:sz w:val="32"/>
          <w:szCs w:val="32"/>
        </w:rPr>
        <w:fldChar w:fldCharType="end"/>
      </w:r>
    </w:p>
    <w:bookmarkStart w:id="5" w:name="Anchor51"/>
    <w:bookmarkEnd w:id="5"/>
    <w:p w:rsidR="00856803" w:rsidRPr="00856803" w:rsidRDefault="00856803" w:rsidP="00856803">
      <w:pPr>
        <w:rPr>
          <w:sz w:val="32"/>
          <w:szCs w:val="32"/>
        </w:rPr>
      </w:pPr>
      <w:r w:rsidRPr="00856803">
        <w:rPr>
          <w:sz w:val="32"/>
          <w:szCs w:val="32"/>
        </w:rPr>
        <w:fldChar w:fldCharType="begin"/>
      </w:r>
      <w:r w:rsidRPr="00856803">
        <w:rPr>
          <w:sz w:val="32"/>
          <w:szCs w:val="32"/>
        </w:rPr>
        <w:instrText xml:space="preserve"> HYPERLINK "http://www.law.gov.kw/KWT_CC-Ar/00_2014/00_%D8%A7%D9%84%D8%AF%D8%A7%D8%A6%D8%B1%D8%A9%20%D8%A7%D9%84%D8%AA%D8%AC%D8%A7%D8%B1%D9%8A%D8%A9/KWT-CC-Ar_2014-04-30_01626_Taan.html" \l "TM2014_1626_3" </w:instrText>
      </w:r>
      <w:r w:rsidRPr="00856803">
        <w:rPr>
          <w:sz w:val="32"/>
          <w:szCs w:val="32"/>
        </w:rPr>
        <w:fldChar w:fldCharType="separate"/>
      </w:r>
      <w:r w:rsidRPr="00856803">
        <w:rPr>
          <w:rStyle w:val="Hyperlink"/>
          <w:sz w:val="32"/>
          <w:szCs w:val="32"/>
        </w:rPr>
        <w:t xml:space="preserve">3 – </w:t>
      </w:r>
      <w:r w:rsidRPr="00856803">
        <w:rPr>
          <w:rStyle w:val="Hyperlink"/>
          <w:sz w:val="32"/>
          <w:szCs w:val="32"/>
          <w:rtl/>
        </w:rPr>
        <w:t>ان المطعون ضدهم كفلاء عينيين لعقد القرض محل الالتزام وبخلو عقد الكفالة من ذكر حصول الكفيل على مقابل لكفالته يكون عقد الكفالة العينية من عقود التبرع وبخلو الكفالة من تعيين العقار محل الرهن فإن الرهن الرسمي لا ينصرف أثره اليهم ولا يصلح سنداً تنفيذيا للدائن</w:t>
      </w:r>
      <w:r w:rsidRPr="00856803">
        <w:rPr>
          <w:rStyle w:val="Hyperlink"/>
          <w:sz w:val="32"/>
          <w:szCs w:val="32"/>
        </w:rPr>
        <w:t>.</w:t>
      </w:r>
      <w:r w:rsidRPr="00856803">
        <w:rPr>
          <w:sz w:val="32"/>
          <w:szCs w:val="32"/>
        </w:rPr>
        <w:fldChar w:fldCharType="end"/>
      </w:r>
      <w:r w:rsidRPr="00856803">
        <w:rPr>
          <w:sz w:val="32"/>
          <w:szCs w:val="32"/>
        </w:rPr>
        <w:br/>
      </w:r>
      <w:r w:rsidRPr="00856803">
        <w:rPr>
          <w:sz w:val="32"/>
          <w:szCs w:val="32"/>
        </w:rPr>
        <w:br/>
      </w:r>
      <w:r w:rsidRPr="00856803">
        <w:rPr>
          <w:sz w:val="32"/>
          <w:szCs w:val="32"/>
          <w:u w:val="single"/>
          <w:rtl/>
        </w:rPr>
        <w:t>ملاحظة</w:t>
      </w:r>
      <w:r w:rsidRPr="00856803">
        <w:rPr>
          <w:sz w:val="32"/>
          <w:szCs w:val="32"/>
          <w:u w:val="single"/>
        </w:rPr>
        <w:t xml:space="preserve"> :</w:t>
      </w:r>
      <w:r w:rsidRPr="00856803">
        <w:rPr>
          <w:sz w:val="32"/>
          <w:szCs w:val="32"/>
        </w:rPr>
        <w:br/>
      </w:r>
      <w:r w:rsidRPr="00856803">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856803" w:rsidRPr="00856803" w:rsidRDefault="00856803" w:rsidP="00856803">
      <w:pPr>
        <w:rPr>
          <w:sz w:val="32"/>
          <w:szCs w:val="32"/>
        </w:rPr>
      </w:pPr>
      <w:bookmarkStart w:id="6" w:name="Anchor76"/>
      <w:bookmarkEnd w:id="6"/>
      <w:r w:rsidRPr="00856803">
        <w:rPr>
          <w:b/>
          <w:bCs/>
          <w:sz w:val="32"/>
          <w:szCs w:val="32"/>
          <w:rtl/>
        </w:rPr>
        <w:t>المحكمة</w:t>
      </w:r>
    </w:p>
    <w:p w:rsidR="00856803" w:rsidRPr="00856803" w:rsidRDefault="00856803" w:rsidP="00856803">
      <w:pPr>
        <w:rPr>
          <w:sz w:val="32"/>
          <w:szCs w:val="32"/>
        </w:rPr>
      </w:pPr>
      <w:bookmarkStart w:id="7" w:name="Anchor77"/>
      <w:bookmarkEnd w:id="7"/>
      <w:r w:rsidRPr="00856803">
        <w:rPr>
          <w:sz w:val="32"/>
          <w:szCs w:val="32"/>
          <w:rtl/>
        </w:rPr>
        <w:t>بعد الاطلاع على الأوراق ، والمداولة</w:t>
      </w:r>
      <w:r w:rsidRPr="00856803">
        <w:rPr>
          <w:sz w:val="32"/>
          <w:szCs w:val="32"/>
        </w:rPr>
        <w:t>.</w:t>
      </w:r>
    </w:p>
    <w:p w:rsidR="00856803" w:rsidRPr="00856803" w:rsidRDefault="00856803" w:rsidP="00856803">
      <w:pPr>
        <w:rPr>
          <w:sz w:val="32"/>
          <w:szCs w:val="32"/>
        </w:rPr>
      </w:pPr>
      <w:bookmarkStart w:id="8" w:name="Anchor82"/>
      <w:bookmarkStart w:id="9" w:name="TM2014_1626_1"/>
      <w:bookmarkEnd w:id="8"/>
      <w:bookmarkEnd w:id="9"/>
      <w:r w:rsidRPr="00856803">
        <w:rPr>
          <w:b/>
          <w:bCs/>
          <w:sz w:val="32"/>
          <w:szCs w:val="32"/>
          <w:rtl/>
        </w:rPr>
        <w:t>لما كان من المقرر أن المناط في التعرف على مدى سعة الوكالة من حيث ما تشتمل عليه من تصرفات قانونية خول الموكل الوكيل إجراءها يتحدد بالرجوع إلى عبارات التوكيل ذاته وما جرت به نصوصه</w:t>
      </w:r>
    </w:p>
    <w:p w:rsidR="00856803" w:rsidRPr="00856803" w:rsidRDefault="00856803" w:rsidP="00856803">
      <w:pPr>
        <w:rPr>
          <w:sz w:val="32"/>
          <w:szCs w:val="32"/>
        </w:rPr>
      </w:pPr>
      <w:bookmarkStart w:id="10" w:name="Anchor101"/>
      <w:bookmarkStart w:id="11" w:name="TM2014_1626_2"/>
      <w:bookmarkEnd w:id="10"/>
      <w:bookmarkEnd w:id="11"/>
      <w:r w:rsidRPr="00856803">
        <w:rPr>
          <w:b/>
          <w:bCs/>
          <w:sz w:val="32"/>
          <w:szCs w:val="32"/>
          <w:rtl/>
        </w:rPr>
        <w:t>وهو أمر يخضع لسلطة قاضي الموضوع بغير معقب مادام تفسيره واقعاً على توكيل قائم وتحتمله عباراته،</w:t>
      </w:r>
      <w:r w:rsidRPr="00856803">
        <w:rPr>
          <w:sz w:val="32"/>
          <w:szCs w:val="32"/>
          <w:rtl/>
        </w:rPr>
        <w:t xml:space="preserve"> لما كان ذلك وكان الحكم المطعون فيه قد أقام قضاءه بعدم الاعتداد بالعقد الرسمي المؤرخ 2009/11/15 في شأن حصص المطعون ضدهم من الأول إلى السابع وبكافة ما تضمنه من التزامات قبلهم على ما استخلصه وأطمأن إليه من أن الثابت بالأوراق أن عبارات التوكيل الموثق رقم 1183 في 2006/6/31 الصادر من المطعون ضدهم من الأول حتى السابع إلى المطعون ضده الثامن نص فيه على توكيل في إدارة أملاكهم ... وفي شراء وبيع ورهن ما </w:t>
      </w:r>
      <w:r w:rsidRPr="00856803">
        <w:rPr>
          <w:sz w:val="32"/>
          <w:szCs w:val="32"/>
          <w:rtl/>
        </w:rPr>
        <w:lastRenderedPageBreak/>
        <w:t xml:space="preserve">يرى من أملاك وعقارات وأعيان الثابت منها والمنقول وفي التوقيع على عقود الشراء والبيع والرهن، </w:t>
      </w:r>
      <w:bookmarkStart w:id="12" w:name="TM2014_1626_3"/>
      <w:bookmarkEnd w:id="12"/>
      <w:r w:rsidRPr="00856803">
        <w:rPr>
          <w:b/>
          <w:bCs/>
          <w:sz w:val="32"/>
          <w:szCs w:val="32"/>
          <w:rtl/>
        </w:rPr>
        <w:t xml:space="preserve">وكان الثابت من عقد القرض محل الالتزام المكفول أن المطعون ضدهم من الأول حتى السابع ليسوا المدينين بل هم كفلاء عينين، ومن ثم فإنهم يكونوا في الغالب متبرعين وهو ما تمسكوا به ولم ينفي المطعون ضده الثامن ذلك ولم يذكر بالتوكيل </w:t>
      </w:r>
      <w:r w:rsidRPr="00856803">
        <w:rPr>
          <w:b/>
          <w:bCs/>
          <w:sz w:val="32"/>
          <w:szCs w:val="32"/>
        </w:rPr>
        <w:t xml:space="preserve">– </w:t>
      </w:r>
      <w:r w:rsidRPr="00856803">
        <w:rPr>
          <w:b/>
          <w:bCs/>
          <w:sz w:val="32"/>
          <w:szCs w:val="32"/>
          <w:rtl/>
        </w:rPr>
        <w:t>سالف البيان</w:t>
      </w:r>
      <w:r w:rsidRPr="00856803">
        <w:rPr>
          <w:b/>
          <w:bCs/>
          <w:sz w:val="32"/>
          <w:szCs w:val="32"/>
        </w:rPr>
        <w:t xml:space="preserve">- </w:t>
      </w:r>
      <w:r w:rsidRPr="00856803">
        <w:rPr>
          <w:b/>
          <w:bCs/>
          <w:sz w:val="32"/>
          <w:szCs w:val="32"/>
          <w:rtl/>
        </w:rPr>
        <w:t>الذي بموجبه ابرم المطعون ضده الثامن عقد الكفالة العينية للبنك الطاعن ورتب عليه رهناً رسمياً لوفاء دين الذي خلا من ذكر حصول الكفيل عل مقابل لكفالته ومن ثم يكون عقد الكفالة العينية هذا من عقود التبرع وحتى يكون هذا العقد نافذاً بحق الكفلاء المطعون ضدهم من الأول حتى السابع كمتبرعين</w:t>
      </w:r>
      <w:r w:rsidRPr="00856803">
        <w:rPr>
          <w:b/>
          <w:bCs/>
          <w:sz w:val="32"/>
          <w:szCs w:val="32"/>
        </w:rPr>
        <w:t xml:space="preserve">- </w:t>
      </w:r>
      <w:r w:rsidRPr="00856803">
        <w:rPr>
          <w:b/>
          <w:bCs/>
          <w:sz w:val="32"/>
          <w:szCs w:val="32"/>
          <w:rtl/>
        </w:rPr>
        <w:t>لابد أن يعين في التوكيل بالكفالة العقار الذي يكون محلاً للرهن وقد خلا التوكيل من تعين ذلك المال ورغم ذلك رتب عليه المطعون ضده الثامن رهناً رسمياً، حال أنه لا صفة له في إجراء نيابة عن المطعون ضدهم من الأول حتى السابع ومن ثم لا ينصرف أثره إليهم ولا يلزمون بما ولده من أثار لخروج الوكيل عن حدود ونطاق الوكالة الصادر له، ويكون العقد الرسمي المؤرخ 2009/11/15 بما تضمنه من التزامات بشأن عقاري التداعي على المطعون ضدهم من الأول حتى السابع لا يصلح سنداً تنفيذياً يجيز للدائن اتخاذ إجراءات بيع العقارين المملوكين لهم إلا فيما يجاوز حصتهم فيها ويسري في حدود حصة المطعون ضده الثامن المشاعة في العقارين وإذ كان ذلك من الحكم سائغاً وله أصله الثابت بالأوراق ويكفي لحمل قضائه</w:t>
      </w:r>
      <w:r w:rsidRPr="00856803">
        <w:rPr>
          <w:sz w:val="32"/>
          <w:szCs w:val="32"/>
          <w:rtl/>
        </w:rPr>
        <w:t xml:space="preserve"> وفيه الرد الضمني المسقط لكل ما يخالف فإن ما يثيره الطاعن على خلاف ذلك لا يعدو أن يكون جدلاً فيما لمحكمة الموضوع من سلطة تقديرية بغية الوصول إلى نتيجة أخرى مغايرة تنحسر عنه رقابة محكمة التمييز، كما أن النعي بعدم قبول الدعوى ولم يسبق طرحه أمام محكمة الموضوع ومن ثم لا يجوز التحدي به لأول مرة أمام محكمة التمييز، ويكون الطعن غير مقبول عملاً بالمادتين 152، 154/5 من قانون المرافعات</w:t>
      </w:r>
      <w:r w:rsidRPr="00856803">
        <w:rPr>
          <w:sz w:val="32"/>
          <w:szCs w:val="32"/>
        </w:rPr>
        <w:t xml:space="preserve">. </w:t>
      </w:r>
    </w:p>
    <w:p w:rsidR="00856803" w:rsidRPr="00856803" w:rsidRDefault="00856803" w:rsidP="00856803">
      <w:pPr>
        <w:rPr>
          <w:sz w:val="32"/>
          <w:szCs w:val="32"/>
        </w:rPr>
      </w:pPr>
      <w:bookmarkStart w:id="13" w:name="Anchor295"/>
      <w:bookmarkEnd w:id="13"/>
      <w:r w:rsidRPr="00856803">
        <w:rPr>
          <w:b/>
          <w:bCs/>
          <w:sz w:val="32"/>
          <w:szCs w:val="32"/>
          <w:rtl/>
        </w:rPr>
        <w:t>لذلك</w:t>
      </w:r>
    </w:p>
    <w:p w:rsidR="00856803" w:rsidRPr="00856803" w:rsidRDefault="00856803" w:rsidP="00856803">
      <w:pPr>
        <w:rPr>
          <w:sz w:val="32"/>
          <w:szCs w:val="32"/>
        </w:rPr>
      </w:pPr>
      <w:bookmarkStart w:id="14" w:name="Anchor296"/>
      <w:bookmarkEnd w:id="14"/>
      <w:r w:rsidRPr="00856803">
        <w:rPr>
          <w:sz w:val="32"/>
          <w:szCs w:val="32"/>
          <w:rtl/>
        </w:rPr>
        <w:t>قررت المحكمة - في غرفة المشورة</w:t>
      </w:r>
      <w:r w:rsidRPr="00856803">
        <w:rPr>
          <w:sz w:val="32"/>
          <w:szCs w:val="32"/>
        </w:rPr>
        <w:t xml:space="preserve"> - </w:t>
      </w:r>
      <w:r w:rsidRPr="00856803">
        <w:rPr>
          <w:sz w:val="32"/>
          <w:szCs w:val="32"/>
          <w:rtl/>
        </w:rPr>
        <w:t>عدم قبول الطعن وألزمت الطاعن المصروفات وعشرين ديناراً مقابل أتعاب المحاماة مع مصادرة الكفالة</w:t>
      </w:r>
      <w:r w:rsidRPr="00856803">
        <w:rPr>
          <w:sz w:val="32"/>
          <w:szCs w:val="32"/>
        </w:rPr>
        <w:t>.</w:t>
      </w:r>
    </w:p>
    <w:p w:rsidR="00856803" w:rsidRPr="00856803" w:rsidRDefault="00856803" w:rsidP="00856803">
      <w:pPr>
        <w:rPr>
          <w:sz w:val="32"/>
          <w:szCs w:val="32"/>
        </w:rPr>
      </w:pPr>
    </w:p>
    <w:p w:rsidR="00856803" w:rsidRPr="00856803" w:rsidRDefault="00856803" w:rsidP="00856803">
      <w:pPr>
        <w:rPr>
          <w:sz w:val="32"/>
          <w:szCs w:val="32"/>
        </w:rPr>
      </w:pPr>
      <w:bookmarkStart w:id="15" w:name="Anchor309"/>
      <w:bookmarkEnd w:id="15"/>
      <w:r w:rsidRPr="00856803">
        <w:rPr>
          <w:sz w:val="32"/>
          <w:szCs w:val="32"/>
        </w:rPr>
        <w:t>* * *</w:t>
      </w:r>
    </w:p>
    <w:p w:rsidR="00D32E0F" w:rsidRPr="00856803" w:rsidRDefault="00D32E0F">
      <w:pPr>
        <w:rPr>
          <w:sz w:val="32"/>
          <w:szCs w:val="32"/>
        </w:rPr>
      </w:pPr>
    </w:p>
    <w:sectPr w:rsidR="00D32E0F" w:rsidRPr="00856803"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989"/>
    <w:rsid w:val="0003272B"/>
    <w:rsid w:val="002F4989"/>
    <w:rsid w:val="00856803"/>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68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68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694621">
      <w:bodyDiv w:val="1"/>
      <w:marLeft w:val="0"/>
      <w:marRight w:val="0"/>
      <w:marTop w:val="0"/>
      <w:marBottom w:val="0"/>
      <w:divBdr>
        <w:top w:val="none" w:sz="0" w:space="0" w:color="auto"/>
        <w:left w:val="none" w:sz="0" w:space="0" w:color="auto"/>
        <w:bottom w:val="none" w:sz="0" w:space="0" w:color="auto"/>
        <w:right w:val="none" w:sz="0" w:space="0" w:color="auto"/>
      </w:divBdr>
      <w:divsChild>
        <w:div w:id="1239360327">
          <w:marLeft w:val="0"/>
          <w:marRight w:val="0"/>
          <w:marTop w:val="0"/>
          <w:marBottom w:val="0"/>
          <w:divBdr>
            <w:top w:val="none" w:sz="0" w:space="0" w:color="auto"/>
            <w:left w:val="none" w:sz="0" w:space="0" w:color="auto"/>
            <w:bottom w:val="none" w:sz="0" w:space="0" w:color="auto"/>
            <w:right w:val="none" w:sz="0" w:space="0" w:color="auto"/>
          </w:divBdr>
        </w:div>
        <w:div w:id="1664700855">
          <w:marLeft w:val="0"/>
          <w:marRight w:val="0"/>
          <w:marTop w:val="0"/>
          <w:marBottom w:val="0"/>
          <w:divBdr>
            <w:top w:val="none" w:sz="0" w:space="0" w:color="auto"/>
            <w:left w:val="none" w:sz="0" w:space="0" w:color="auto"/>
            <w:bottom w:val="none" w:sz="0" w:space="0" w:color="auto"/>
            <w:right w:val="none" w:sz="0" w:space="0" w:color="auto"/>
          </w:divBdr>
        </w:div>
        <w:div w:id="161508407">
          <w:marLeft w:val="0"/>
          <w:marRight w:val="0"/>
          <w:marTop w:val="0"/>
          <w:marBottom w:val="0"/>
          <w:divBdr>
            <w:top w:val="none" w:sz="0" w:space="0" w:color="auto"/>
            <w:left w:val="none" w:sz="0" w:space="0" w:color="auto"/>
            <w:bottom w:val="none" w:sz="0" w:space="0" w:color="auto"/>
            <w:right w:val="none" w:sz="0" w:space="0" w:color="auto"/>
          </w:divBdr>
        </w:div>
        <w:div w:id="788203543">
          <w:marLeft w:val="0"/>
          <w:marRight w:val="0"/>
          <w:marTop w:val="0"/>
          <w:marBottom w:val="0"/>
          <w:divBdr>
            <w:top w:val="none" w:sz="0" w:space="0" w:color="auto"/>
            <w:left w:val="none" w:sz="0" w:space="0" w:color="auto"/>
            <w:bottom w:val="none" w:sz="0" w:space="0" w:color="auto"/>
            <w:right w:val="none" w:sz="0" w:space="0" w:color="auto"/>
          </w:divBdr>
        </w:div>
        <w:div w:id="1752850034">
          <w:marLeft w:val="0"/>
          <w:marRight w:val="0"/>
          <w:marTop w:val="0"/>
          <w:marBottom w:val="0"/>
          <w:divBdr>
            <w:top w:val="none" w:sz="0" w:space="0" w:color="auto"/>
            <w:left w:val="none" w:sz="0" w:space="0" w:color="auto"/>
            <w:bottom w:val="none" w:sz="0" w:space="0" w:color="auto"/>
            <w:right w:val="none" w:sz="0" w:space="0" w:color="auto"/>
          </w:divBdr>
        </w:div>
        <w:div w:id="1762338019">
          <w:marLeft w:val="0"/>
          <w:marRight w:val="0"/>
          <w:marTop w:val="0"/>
          <w:marBottom w:val="0"/>
          <w:divBdr>
            <w:top w:val="none" w:sz="0" w:space="0" w:color="auto"/>
            <w:left w:val="none" w:sz="0" w:space="0" w:color="auto"/>
            <w:bottom w:val="none" w:sz="0" w:space="0" w:color="auto"/>
            <w:right w:val="none" w:sz="0" w:space="0" w:color="auto"/>
          </w:divBdr>
        </w:div>
        <w:div w:id="752896018">
          <w:marLeft w:val="0"/>
          <w:marRight w:val="0"/>
          <w:marTop w:val="0"/>
          <w:marBottom w:val="0"/>
          <w:divBdr>
            <w:top w:val="none" w:sz="0" w:space="0" w:color="auto"/>
            <w:left w:val="none" w:sz="0" w:space="0" w:color="auto"/>
            <w:bottom w:val="none" w:sz="0" w:space="0" w:color="auto"/>
            <w:right w:val="none" w:sz="0" w:space="0" w:color="auto"/>
          </w:divBdr>
        </w:div>
        <w:div w:id="1976787846">
          <w:marLeft w:val="0"/>
          <w:marRight w:val="0"/>
          <w:marTop w:val="0"/>
          <w:marBottom w:val="0"/>
          <w:divBdr>
            <w:top w:val="none" w:sz="0" w:space="0" w:color="auto"/>
            <w:left w:val="none" w:sz="0" w:space="0" w:color="auto"/>
            <w:bottom w:val="none" w:sz="0" w:space="0" w:color="auto"/>
            <w:right w:val="none" w:sz="0" w:space="0" w:color="auto"/>
          </w:divBdr>
        </w:div>
        <w:div w:id="1030423606">
          <w:marLeft w:val="0"/>
          <w:marRight w:val="0"/>
          <w:marTop w:val="0"/>
          <w:marBottom w:val="0"/>
          <w:divBdr>
            <w:top w:val="none" w:sz="0" w:space="0" w:color="auto"/>
            <w:left w:val="none" w:sz="0" w:space="0" w:color="auto"/>
            <w:bottom w:val="none" w:sz="0" w:space="0" w:color="auto"/>
            <w:right w:val="none" w:sz="0" w:space="0" w:color="auto"/>
          </w:divBdr>
        </w:div>
        <w:div w:id="355691405">
          <w:marLeft w:val="0"/>
          <w:marRight w:val="0"/>
          <w:marTop w:val="0"/>
          <w:marBottom w:val="0"/>
          <w:divBdr>
            <w:top w:val="none" w:sz="0" w:space="0" w:color="auto"/>
            <w:left w:val="none" w:sz="0" w:space="0" w:color="auto"/>
            <w:bottom w:val="none" w:sz="0" w:space="0" w:color="auto"/>
            <w:right w:val="none" w:sz="0" w:space="0" w:color="auto"/>
          </w:divBdr>
        </w:div>
        <w:div w:id="792362145">
          <w:marLeft w:val="0"/>
          <w:marRight w:val="0"/>
          <w:marTop w:val="0"/>
          <w:marBottom w:val="0"/>
          <w:divBdr>
            <w:top w:val="none" w:sz="0" w:space="0" w:color="auto"/>
            <w:left w:val="none" w:sz="0" w:space="0" w:color="auto"/>
            <w:bottom w:val="none" w:sz="0" w:space="0" w:color="auto"/>
            <w:right w:val="none" w:sz="0" w:space="0" w:color="auto"/>
          </w:divBdr>
        </w:div>
        <w:div w:id="1458597136">
          <w:marLeft w:val="0"/>
          <w:marRight w:val="0"/>
          <w:marTop w:val="0"/>
          <w:marBottom w:val="0"/>
          <w:divBdr>
            <w:top w:val="none" w:sz="0" w:space="0" w:color="auto"/>
            <w:left w:val="none" w:sz="0" w:space="0" w:color="auto"/>
            <w:bottom w:val="none" w:sz="0" w:space="0" w:color="auto"/>
            <w:right w:val="none" w:sz="0" w:space="0" w:color="auto"/>
          </w:divBdr>
        </w:div>
      </w:divsChild>
    </w:div>
    <w:div w:id="1951543346">
      <w:bodyDiv w:val="1"/>
      <w:marLeft w:val="0"/>
      <w:marRight w:val="0"/>
      <w:marTop w:val="0"/>
      <w:marBottom w:val="0"/>
      <w:divBdr>
        <w:top w:val="none" w:sz="0" w:space="0" w:color="auto"/>
        <w:left w:val="none" w:sz="0" w:space="0" w:color="auto"/>
        <w:bottom w:val="none" w:sz="0" w:space="0" w:color="auto"/>
        <w:right w:val="none" w:sz="0" w:space="0" w:color="auto"/>
      </w:divBdr>
      <w:divsChild>
        <w:div w:id="1276788838">
          <w:marLeft w:val="0"/>
          <w:marRight w:val="0"/>
          <w:marTop w:val="0"/>
          <w:marBottom w:val="0"/>
          <w:divBdr>
            <w:top w:val="none" w:sz="0" w:space="0" w:color="auto"/>
            <w:left w:val="none" w:sz="0" w:space="0" w:color="auto"/>
            <w:bottom w:val="none" w:sz="0" w:space="0" w:color="auto"/>
            <w:right w:val="none" w:sz="0" w:space="0" w:color="auto"/>
          </w:divBdr>
        </w:div>
        <w:div w:id="664089947">
          <w:marLeft w:val="0"/>
          <w:marRight w:val="0"/>
          <w:marTop w:val="0"/>
          <w:marBottom w:val="0"/>
          <w:divBdr>
            <w:top w:val="none" w:sz="0" w:space="0" w:color="auto"/>
            <w:left w:val="none" w:sz="0" w:space="0" w:color="auto"/>
            <w:bottom w:val="none" w:sz="0" w:space="0" w:color="auto"/>
            <w:right w:val="none" w:sz="0" w:space="0" w:color="auto"/>
          </w:divBdr>
        </w:div>
        <w:div w:id="148720025">
          <w:marLeft w:val="0"/>
          <w:marRight w:val="0"/>
          <w:marTop w:val="0"/>
          <w:marBottom w:val="0"/>
          <w:divBdr>
            <w:top w:val="none" w:sz="0" w:space="0" w:color="auto"/>
            <w:left w:val="none" w:sz="0" w:space="0" w:color="auto"/>
            <w:bottom w:val="none" w:sz="0" w:space="0" w:color="auto"/>
            <w:right w:val="none" w:sz="0" w:space="0" w:color="auto"/>
          </w:divBdr>
        </w:div>
        <w:div w:id="62145150">
          <w:marLeft w:val="0"/>
          <w:marRight w:val="0"/>
          <w:marTop w:val="0"/>
          <w:marBottom w:val="0"/>
          <w:divBdr>
            <w:top w:val="none" w:sz="0" w:space="0" w:color="auto"/>
            <w:left w:val="none" w:sz="0" w:space="0" w:color="auto"/>
            <w:bottom w:val="none" w:sz="0" w:space="0" w:color="auto"/>
            <w:right w:val="none" w:sz="0" w:space="0" w:color="auto"/>
          </w:divBdr>
        </w:div>
        <w:div w:id="1707680001">
          <w:marLeft w:val="0"/>
          <w:marRight w:val="0"/>
          <w:marTop w:val="0"/>
          <w:marBottom w:val="0"/>
          <w:divBdr>
            <w:top w:val="none" w:sz="0" w:space="0" w:color="auto"/>
            <w:left w:val="none" w:sz="0" w:space="0" w:color="auto"/>
            <w:bottom w:val="none" w:sz="0" w:space="0" w:color="auto"/>
            <w:right w:val="none" w:sz="0" w:space="0" w:color="auto"/>
          </w:divBdr>
        </w:div>
        <w:div w:id="1193766711">
          <w:marLeft w:val="0"/>
          <w:marRight w:val="0"/>
          <w:marTop w:val="0"/>
          <w:marBottom w:val="0"/>
          <w:divBdr>
            <w:top w:val="none" w:sz="0" w:space="0" w:color="auto"/>
            <w:left w:val="none" w:sz="0" w:space="0" w:color="auto"/>
            <w:bottom w:val="none" w:sz="0" w:space="0" w:color="auto"/>
            <w:right w:val="none" w:sz="0" w:space="0" w:color="auto"/>
          </w:divBdr>
        </w:div>
        <w:div w:id="968432385">
          <w:marLeft w:val="0"/>
          <w:marRight w:val="0"/>
          <w:marTop w:val="0"/>
          <w:marBottom w:val="0"/>
          <w:divBdr>
            <w:top w:val="none" w:sz="0" w:space="0" w:color="auto"/>
            <w:left w:val="none" w:sz="0" w:space="0" w:color="auto"/>
            <w:bottom w:val="none" w:sz="0" w:space="0" w:color="auto"/>
            <w:right w:val="none" w:sz="0" w:space="0" w:color="auto"/>
          </w:divBdr>
        </w:div>
        <w:div w:id="243956728">
          <w:marLeft w:val="0"/>
          <w:marRight w:val="0"/>
          <w:marTop w:val="0"/>
          <w:marBottom w:val="0"/>
          <w:divBdr>
            <w:top w:val="none" w:sz="0" w:space="0" w:color="auto"/>
            <w:left w:val="none" w:sz="0" w:space="0" w:color="auto"/>
            <w:bottom w:val="none" w:sz="0" w:space="0" w:color="auto"/>
            <w:right w:val="none" w:sz="0" w:space="0" w:color="auto"/>
          </w:divBdr>
        </w:div>
        <w:div w:id="232589622">
          <w:marLeft w:val="0"/>
          <w:marRight w:val="0"/>
          <w:marTop w:val="0"/>
          <w:marBottom w:val="0"/>
          <w:divBdr>
            <w:top w:val="none" w:sz="0" w:space="0" w:color="auto"/>
            <w:left w:val="none" w:sz="0" w:space="0" w:color="auto"/>
            <w:bottom w:val="none" w:sz="0" w:space="0" w:color="auto"/>
            <w:right w:val="none" w:sz="0" w:space="0" w:color="auto"/>
          </w:divBdr>
        </w:div>
        <w:div w:id="1528981385">
          <w:marLeft w:val="0"/>
          <w:marRight w:val="0"/>
          <w:marTop w:val="0"/>
          <w:marBottom w:val="0"/>
          <w:divBdr>
            <w:top w:val="none" w:sz="0" w:space="0" w:color="auto"/>
            <w:left w:val="none" w:sz="0" w:space="0" w:color="auto"/>
            <w:bottom w:val="none" w:sz="0" w:space="0" w:color="auto"/>
            <w:right w:val="none" w:sz="0" w:space="0" w:color="auto"/>
          </w:divBdr>
        </w:div>
        <w:div w:id="529803438">
          <w:marLeft w:val="0"/>
          <w:marRight w:val="0"/>
          <w:marTop w:val="0"/>
          <w:marBottom w:val="0"/>
          <w:divBdr>
            <w:top w:val="none" w:sz="0" w:space="0" w:color="auto"/>
            <w:left w:val="none" w:sz="0" w:space="0" w:color="auto"/>
            <w:bottom w:val="none" w:sz="0" w:space="0" w:color="auto"/>
            <w:right w:val="none" w:sz="0" w:space="0" w:color="auto"/>
          </w:divBdr>
        </w:div>
        <w:div w:id="791049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3366</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2020-04-26T12:34:00Z</dcterms:created>
  <dcterms:modified xsi:type="dcterms:W3CDTF">2020-04-26T12:34:00Z</dcterms:modified>
</cp:coreProperties>
</file>