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FD0" w:rsidRPr="00013FD0" w:rsidRDefault="00013FD0" w:rsidP="00013FD0">
      <w:pPr>
        <w:jc w:val="center"/>
        <w:rPr>
          <w:sz w:val="32"/>
          <w:szCs w:val="32"/>
        </w:rPr>
      </w:pPr>
      <w:bookmarkStart w:id="0" w:name="Anchor1"/>
      <w:bookmarkEnd w:id="0"/>
      <w:r w:rsidRPr="00013FD0">
        <w:rPr>
          <w:sz w:val="32"/>
          <w:szCs w:val="32"/>
          <w:rtl/>
        </w:rPr>
        <w:t>الطعن رق</w:t>
      </w:r>
      <w:bookmarkStart w:id="1" w:name="_GoBack"/>
      <w:bookmarkEnd w:id="1"/>
      <w:r w:rsidRPr="00013FD0">
        <w:rPr>
          <w:sz w:val="32"/>
          <w:szCs w:val="32"/>
          <w:rtl/>
        </w:rPr>
        <w:t>م 1664/2013</w:t>
      </w:r>
    </w:p>
    <w:p w:rsidR="00013FD0" w:rsidRPr="00013FD0" w:rsidRDefault="00013FD0" w:rsidP="00013FD0">
      <w:pPr>
        <w:rPr>
          <w:sz w:val="32"/>
          <w:szCs w:val="32"/>
        </w:rPr>
      </w:pPr>
      <w:bookmarkStart w:id="2" w:name="Anchor6"/>
      <w:bookmarkEnd w:id="2"/>
      <w:r w:rsidRPr="00013FD0">
        <w:rPr>
          <w:sz w:val="32"/>
          <w:szCs w:val="32"/>
          <w:rtl/>
        </w:rPr>
        <w:t>هيئة المحكمة</w:t>
      </w:r>
      <w:r w:rsidRPr="00013FD0">
        <w:rPr>
          <w:sz w:val="32"/>
          <w:szCs w:val="32"/>
        </w:rPr>
        <w:t xml:space="preserve">: </w:t>
      </w:r>
      <w:r w:rsidRPr="00013FD0">
        <w:rPr>
          <w:sz w:val="32"/>
          <w:szCs w:val="32"/>
          <w:rtl/>
        </w:rPr>
        <w:t>برئاسة السيد المستشار عبدالعزيز الفهد وكيل المحكمة وعضوية السادة المستشارين مصطفى ثابت ومحمود التركاوي وعبدالرحمن مطاوع وعطية النادي</w:t>
      </w:r>
    </w:p>
    <w:bookmarkStart w:id="3" w:name="Anchor22"/>
    <w:bookmarkEnd w:id="3"/>
    <w:p w:rsidR="00013FD0" w:rsidRPr="00013FD0" w:rsidRDefault="00013FD0" w:rsidP="00013FD0">
      <w:pPr>
        <w:rPr>
          <w:sz w:val="32"/>
          <w:szCs w:val="32"/>
        </w:rPr>
      </w:pPr>
      <w:r w:rsidRPr="00013FD0">
        <w:rPr>
          <w:sz w:val="32"/>
          <w:szCs w:val="32"/>
        </w:rPr>
        <w:fldChar w:fldCharType="begin"/>
      </w:r>
      <w:r w:rsidRPr="00013FD0">
        <w:rPr>
          <w:sz w:val="32"/>
          <w:szCs w:val="32"/>
        </w:rPr>
        <w:instrText xml:space="preserve"> HYPERLINK "http://www.law.gov.kw/KWT_CC-Ar/00_2014/00_%D8%A7%D9%84%D8%AF%D8%A7%D8%A6%D8%B1%D8%A9%20%D8%A7%D9%84%D8%AA%D8%AC%D8%A7%D8%B1%D9%8A%D8%A9/KWT-CC-Ar_2014-05-13_01664_Taan.html" \l "TM2014_1664_1" </w:instrText>
      </w:r>
      <w:r w:rsidRPr="00013FD0">
        <w:rPr>
          <w:sz w:val="32"/>
          <w:szCs w:val="32"/>
        </w:rPr>
        <w:fldChar w:fldCharType="separate"/>
      </w:r>
      <w:r w:rsidRPr="00013FD0">
        <w:rPr>
          <w:rStyle w:val="Hyperlink"/>
          <w:sz w:val="32"/>
          <w:szCs w:val="32"/>
        </w:rPr>
        <w:t xml:space="preserve">1- </w:t>
      </w:r>
      <w:r w:rsidRPr="00013FD0">
        <w:rPr>
          <w:rStyle w:val="Hyperlink"/>
          <w:sz w:val="32"/>
          <w:szCs w:val="32"/>
          <w:rtl/>
        </w:rPr>
        <w:t>إن نطاق الإستئناف يتحدد بطلبات المستأنف الواردة في صحيفة إستئنافه مع تقيّدها بحكم محكمة أول درجة النهائي والحائز قوة الأمر المقضي فيما لم يتناوله الإستئناف</w:t>
      </w:r>
      <w:r w:rsidRPr="00013FD0">
        <w:rPr>
          <w:rStyle w:val="Hyperlink"/>
          <w:sz w:val="32"/>
          <w:szCs w:val="32"/>
        </w:rPr>
        <w:t>.</w:t>
      </w:r>
      <w:r w:rsidRPr="00013FD0">
        <w:rPr>
          <w:sz w:val="32"/>
          <w:szCs w:val="32"/>
        </w:rPr>
        <w:fldChar w:fldCharType="end"/>
      </w:r>
    </w:p>
    <w:bookmarkStart w:id="4" w:name="Anchor39"/>
    <w:bookmarkEnd w:id="4"/>
    <w:p w:rsidR="00013FD0" w:rsidRPr="00013FD0" w:rsidRDefault="00013FD0" w:rsidP="00013FD0">
      <w:pPr>
        <w:rPr>
          <w:sz w:val="32"/>
          <w:szCs w:val="32"/>
        </w:rPr>
      </w:pPr>
      <w:r w:rsidRPr="00013FD0">
        <w:rPr>
          <w:sz w:val="32"/>
          <w:szCs w:val="32"/>
        </w:rPr>
        <w:fldChar w:fldCharType="begin"/>
      </w:r>
      <w:r w:rsidRPr="00013FD0">
        <w:rPr>
          <w:sz w:val="32"/>
          <w:szCs w:val="32"/>
        </w:rPr>
        <w:instrText xml:space="preserve"> HYPERLINK "http://www.law.gov.kw/KWT_CC-Ar/00_2014/00_%D8%A7%D9%84%D8%AF%D8%A7%D8%A6%D8%B1%D8%A9%20%D8%A7%D9%84%D8%AA%D8%AC%D8%A7%D8%B1%D9%8A%D8%A9/KWT-CC-Ar_2014-05-13_01664_Taan.html" \l "TM2014_1664_2" </w:instrText>
      </w:r>
      <w:r w:rsidRPr="00013FD0">
        <w:rPr>
          <w:sz w:val="32"/>
          <w:szCs w:val="32"/>
        </w:rPr>
        <w:fldChar w:fldCharType="separate"/>
      </w:r>
      <w:r w:rsidRPr="00013FD0">
        <w:rPr>
          <w:rStyle w:val="Hyperlink"/>
          <w:sz w:val="32"/>
          <w:szCs w:val="32"/>
        </w:rPr>
        <w:t xml:space="preserve">2- </w:t>
      </w:r>
      <w:r w:rsidRPr="00013FD0">
        <w:rPr>
          <w:rStyle w:val="Hyperlink"/>
          <w:sz w:val="32"/>
          <w:szCs w:val="32"/>
          <w:rtl/>
        </w:rPr>
        <w:t>إن الأسباب التي استند إليها المستأنف في طلب إلغاء الحكم الإبتدائي لا تعتبر كأساس لتحديد الجزء المطعون فيه بالإستئناف</w:t>
      </w:r>
      <w:r w:rsidRPr="00013FD0">
        <w:rPr>
          <w:rStyle w:val="Hyperlink"/>
          <w:sz w:val="32"/>
          <w:szCs w:val="32"/>
        </w:rPr>
        <w:t>.</w:t>
      </w:r>
      <w:r w:rsidRPr="00013FD0">
        <w:rPr>
          <w:sz w:val="32"/>
          <w:szCs w:val="32"/>
        </w:rPr>
        <w:fldChar w:fldCharType="end"/>
      </w:r>
    </w:p>
    <w:bookmarkStart w:id="5" w:name="Anchor51"/>
    <w:bookmarkEnd w:id="5"/>
    <w:p w:rsidR="00013FD0" w:rsidRPr="00013FD0" w:rsidRDefault="00013FD0" w:rsidP="00013FD0">
      <w:pPr>
        <w:rPr>
          <w:sz w:val="32"/>
          <w:szCs w:val="32"/>
        </w:rPr>
      </w:pPr>
      <w:r w:rsidRPr="00013FD0">
        <w:rPr>
          <w:sz w:val="32"/>
          <w:szCs w:val="32"/>
        </w:rPr>
        <w:fldChar w:fldCharType="begin"/>
      </w:r>
      <w:r w:rsidRPr="00013FD0">
        <w:rPr>
          <w:sz w:val="32"/>
          <w:szCs w:val="32"/>
        </w:rPr>
        <w:instrText xml:space="preserve"> HYPERLINK "http://www.law.gov.kw/KWT_CC-Ar/00_2014/00_%D8%A7%D9%84%D8%AF%D8%A7%D8%A6%D8%B1%D8%A9%20%D8%A7%D9%84%D8%AA%D8%AC%D8%A7%D8%B1%D9%8A%D8%A9/KWT-CC-Ar_2014-05-13_01664_Taan.html" \l "TM2014_1664_3" </w:instrText>
      </w:r>
      <w:r w:rsidRPr="00013FD0">
        <w:rPr>
          <w:sz w:val="32"/>
          <w:szCs w:val="32"/>
        </w:rPr>
        <w:fldChar w:fldCharType="separate"/>
      </w:r>
      <w:r w:rsidRPr="00013FD0">
        <w:rPr>
          <w:rStyle w:val="Hyperlink"/>
          <w:sz w:val="32"/>
          <w:szCs w:val="32"/>
        </w:rPr>
        <w:t xml:space="preserve">3- </w:t>
      </w:r>
      <w:r w:rsidRPr="00013FD0">
        <w:rPr>
          <w:rStyle w:val="Hyperlink"/>
          <w:sz w:val="32"/>
          <w:szCs w:val="32"/>
          <w:rtl/>
        </w:rPr>
        <w:t>إن أسباب الحكم تعتبر مشوبة بالفساد في الاستدلال إذا انطوت على عيب يمس سلامة الإستنباط كالإستناد الى أدلة غير صالحة</w:t>
      </w:r>
      <w:r w:rsidRPr="00013FD0">
        <w:rPr>
          <w:rStyle w:val="Hyperlink"/>
          <w:sz w:val="32"/>
          <w:szCs w:val="32"/>
        </w:rPr>
        <w:t>.</w:t>
      </w:r>
      <w:r w:rsidRPr="00013FD0">
        <w:rPr>
          <w:sz w:val="32"/>
          <w:szCs w:val="32"/>
        </w:rPr>
        <w:fldChar w:fldCharType="end"/>
      </w:r>
    </w:p>
    <w:bookmarkStart w:id="6" w:name="Anchor63"/>
    <w:bookmarkEnd w:id="6"/>
    <w:p w:rsidR="00013FD0" w:rsidRPr="00013FD0" w:rsidRDefault="00013FD0" w:rsidP="00013FD0">
      <w:pPr>
        <w:rPr>
          <w:sz w:val="32"/>
          <w:szCs w:val="32"/>
        </w:rPr>
      </w:pPr>
      <w:r w:rsidRPr="00013FD0">
        <w:rPr>
          <w:sz w:val="32"/>
          <w:szCs w:val="32"/>
        </w:rPr>
        <w:fldChar w:fldCharType="begin"/>
      </w:r>
      <w:r w:rsidRPr="00013FD0">
        <w:rPr>
          <w:sz w:val="32"/>
          <w:szCs w:val="32"/>
        </w:rPr>
        <w:instrText xml:space="preserve"> HYPERLINK "http://www.law.gov.kw/KWT_CC-Ar/00_2014/00_%D8%A7%D9%84%D8%AF%D8%A7%D8%A6%D8%B1%D8%A9%20%D8%A7%D9%84%D8%AA%D8%AC%D8%A7%D8%B1%D9%8A%D8%A9/KWT-CC-Ar_2014-05-13_01664_Taan.html" \l "TM2014_1664_4" </w:instrText>
      </w:r>
      <w:r w:rsidRPr="00013FD0">
        <w:rPr>
          <w:sz w:val="32"/>
          <w:szCs w:val="32"/>
        </w:rPr>
        <w:fldChar w:fldCharType="separate"/>
      </w:r>
      <w:r w:rsidRPr="00013FD0">
        <w:rPr>
          <w:rStyle w:val="Hyperlink"/>
          <w:sz w:val="32"/>
          <w:szCs w:val="32"/>
        </w:rPr>
        <w:t xml:space="preserve">4- </w:t>
      </w:r>
      <w:r w:rsidRPr="00013FD0">
        <w:rPr>
          <w:rStyle w:val="Hyperlink"/>
          <w:sz w:val="32"/>
          <w:szCs w:val="32"/>
          <w:rtl/>
        </w:rPr>
        <w:t>إن الحكم يكون باطلاً إذا بنت محكمة الموضوع قضاءها على فهم مخالف لما هو ثابت في أوراق الدعوى</w:t>
      </w:r>
      <w:r w:rsidRPr="00013FD0">
        <w:rPr>
          <w:rStyle w:val="Hyperlink"/>
          <w:sz w:val="32"/>
          <w:szCs w:val="32"/>
        </w:rPr>
        <w:t>.</w:t>
      </w:r>
      <w:r w:rsidRPr="00013FD0">
        <w:rPr>
          <w:sz w:val="32"/>
          <w:szCs w:val="32"/>
        </w:rPr>
        <w:fldChar w:fldCharType="end"/>
      </w:r>
    </w:p>
    <w:bookmarkStart w:id="7" w:name="Anchor74"/>
    <w:bookmarkEnd w:id="7"/>
    <w:p w:rsidR="00013FD0" w:rsidRPr="00013FD0" w:rsidRDefault="00013FD0" w:rsidP="00013FD0">
      <w:pPr>
        <w:rPr>
          <w:sz w:val="32"/>
          <w:szCs w:val="32"/>
        </w:rPr>
      </w:pPr>
      <w:r w:rsidRPr="00013FD0">
        <w:rPr>
          <w:sz w:val="32"/>
          <w:szCs w:val="32"/>
        </w:rPr>
        <w:fldChar w:fldCharType="begin"/>
      </w:r>
      <w:r w:rsidRPr="00013FD0">
        <w:rPr>
          <w:sz w:val="32"/>
          <w:szCs w:val="32"/>
        </w:rPr>
        <w:instrText xml:space="preserve"> HYPERLINK "http://www.law.gov.kw/KWT_CC-Ar/00_2014/00_%D8%A7%D9%84%D8%AF%D8%A7%D8%A6%D8%B1%D8%A9%20%D8%A7%D9%84%D8%AA%D8%AC%D8%A7%D8%B1%D9%8A%D8%A9/KWT-CC-Ar_2014-05-13_01664_Taan.html" \l "TM2014_1664_5" </w:instrText>
      </w:r>
      <w:r w:rsidRPr="00013FD0">
        <w:rPr>
          <w:sz w:val="32"/>
          <w:szCs w:val="32"/>
        </w:rPr>
        <w:fldChar w:fldCharType="separate"/>
      </w:r>
      <w:r w:rsidRPr="00013FD0">
        <w:rPr>
          <w:rStyle w:val="Hyperlink"/>
          <w:sz w:val="32"/>
          <w:szCs w:val="32"/>
        </w:rPr>
        <w:t xml:space="preserve">5- </w:t>
      </w:r>
      <w:r w:rsidRPr="00013FD0">
        <w:rPr>
          <w:rStyle w:val="Hyperlink"/>
          <w:sz w:val="32"/>
          <w:szCs w:val="32"/>
          <w:rtl/>
        </w:rPr>
        <w:t>إن لمحكمة الموضوع أن تأخذ بتقرير الخبير المقدم في الدعوى باعتباره عنصراً من عناصر الإثبات فيها شرط قيام التقرير على أسباب سائغة</w:t>
      </w:r>
      <w:r w:rsidRPr="00013FD0">
        <w:rPr>
          <w:rStyle w:val="Hyperlink"/>
          <w:sz w:val="32"/>
          <w:szCs w:val="32"/>
        </w:rPr>
        <w:t>.</w:t>
      </w:r>
      <w:r w:rsidRPr="00013FD0">
        <w:rPr>
          <w:sz w:val="32"/>
          <w:szCs w:val="32"/>
        </w:rPr>
        <w:fldChar w:fldCharType="end"/>
      </w:r>
    </w:p>
    <w:bookmarkStart w:id="8" w:name="Anchor90"/>
    <w:bookmarkEnd w:id="8"/>
    <w:p w:rsidR="00013FD0" w:rsidRPr="00013FD0" w:rsidRDefault="00013FD0" w:rsidP="00013FD0">
      <w:pPr>
        <w:rPr>
          <w:sz w:val="32"/>
          <w:szCs w:val="32"/>
        </w:rPr>
      </w:pPr>
      <w:r w:rsidRPr="00013FD0">
        <w:rPr>
          <w:sz w:val="32"/>
          <w:szCs w:val="32"/>
        </w:rPr>
        <w:fldChar w:fldCharType="begin"/>
      </w:r>
      <w:r w:rsidRPr="00013FD0">
        <w:rPr>
          <w:sz w:val="32"/>
          <w:szCs w:val="32"/>
        </w:rPr>
        <w:instrText xml:space="preserve"> HYPERLINK "http://www.law.gov.kw/KWT_CC-Ar/00_2014/00_%D8%A7%D9%84%D8%AF%D8%A7%D8%A6%D8%B1%D8%A9%20%D8%A7%D9%84%D8%AA%D8%AC%D8%A7%D8%B1%D9%8A%D8%A9/KWT-CC-Ar_2014-05-13_01664_Taan.html" \l "TM2014_1664_6" </w:instrText>
      </w:r>
      <w:r w:rsidRPr="00013FD0">
        <w:rPr>
          <w:sz w:val="32"/>
          <w:szCs w:val="32"/>
        </w:rPr>
        <w:fldChar w:fldCharType="separate"/>
      </w:r>
      <w:r w:rsidRPr="00013FD0">
        <w:rPr>
          <w:rStyle w:val="Hyperlink"/>
          <w:sz w:val="32"/>
          <w:szCs w:val="32"/>
        </w:rPr>
        <w:t xml:space="preserve">6- </w:t>
      </w:r>
      <w:r w:rsidRPr="00013FD0">
        <w:rPr>
          <w:rStyle w:val="Hyperlink"/>
          <w:sz w:val="32"/>
          <w:szCs w:val="32"/>
          <w:rtl/>
        </w:rPr>
        <w:t>إن على محكمة الموضوع بحث الدفاع الجوهري المقدم من الخصوم والمرفق بالمستندات اللازمة والدالة على صحته وإلا كان حكمها مشوباً بالقصور في التسبيب</w:t>
      </w:r>
      <w:r w:rsidRPr="00013FD0">
        <w:rPr>
          <w:rStyle w:val="Hyperlink"/>
          <w:sz w:val="32"/>
          <w:szCs w:val="32"/>
        </w:rPr>
        <w:t>.</w:t>
      </w:r>
      <w:r w:rsidRPr="00013FD0">
        <w:rPr>
          <w:sz w:val="32"/>
          <w:szCs w:val="32"/>
        </w:rPr>
        <w:fldChar w:fldCharType="end"/>
      </w:r>
      <w:r w:rsidRPr="00013FD0">
        <w:rPr>
          <w:sz w:val="32"/>
          <w:szCs w:val="32"/>
        </w:rPr>
        <w:br/>
      </w:r>
      <w:r w:rsidRPr="00013FD0">
        <w:rPr>
          <w:sz w:val="32"/>
          <w:szCs w:val="32"/>
        </w:rPr>
        <w:br/>
      </w:r>
      <w:r w:rsidRPr="00013FD0">
        <w:rPr>
          <w:sz w:val="32"/>
          <w:szCs w:val="32"/>
          <w:u w:val="single"/>
          <w:rtl/>
        </w:rPr>
        <w:t>ملاحظة</w:t>
      </w:r>
      <w:r w:rsidRPr="00013FD0">
        <w:rPr>
          <w:sz w:val="32"/>
          <w:szCs w:val="32"/>
          <w:u w:val="single"/>
        </w:rPr>
        <w:t xml:space="preserve"> :</w:t>
      </w:r>
      <w:r w:rsidRPr="00013FD0">
        <w:rPr>
          <w:sz w:val="32"/>
          <w:szCs w:val="32"/>
        </w:rPr>
        <w:br/>
      </w:r>
      <w:r w:rsidRPr="00013FD0">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013FD0" w:rsidRPr="00013FD0" w:rsidRDefault="00013FD0" w:rsidP="00013FD0">
      <w:pPr>
        <w:rPr>
          <w:sz w:val="32"/>
          <w:szCs w:val="32"/>
        </w:rPr>
      </w:pPr>
      <w:bookmarkStart w:id="9" w:name="Anchor106"/>
      <w:bookmarkEnd w:id="9"/>
      <w:r w:rsidRPr="00013FD0">
        <w:rPr>
          <w:b/>
          <w:bCs/>
          <w:sz w:val="32"/>
          <w:szCs w:val="32"/>
          <w:rtl/>
        </w:rPr>
        <w:t>المحكمة</w:t>
      </w:r>
    </w:p>
    <w:p w:rsidR="00013FD0" w:rsidRPr="00013FD0" w:rsidRDefault="00013FD0" w:rsidP="00013FD0">
      <w:pPr>
        <w:rPr>
          <w:sz w:val="32"/>
          <w:szCs w:val="32"/>
        </w:rPr>
      </w:pPr>
      <w:bookmarkStart w:id="10" w:name="Anchor107"/>
      <w:bookmarkEnd w:id="10"/>
      <w:r w:rsidRPr="00013FD0">
        <w:rPr>
          <w:sz w:val="32"/>
          <w:szCs w:val="32"/>
          <w:rtl/>
        </w:rPr>
        <w:t>بعد الإطلاع على الأوراق وسماع المرافعة وبعد المداولة</w:t>
      </w:r>
      <w:r w:rsidRPr="00013FD0">
        <w:rPr>
          <w:sz w:val="32"/>
          <w:szCs w:val="32"/>
        </w:rPr>
        <w:t>.</w:t>
      </w:r>
    </w:p>
    <w:p w:rsidR="00013FD0" w:rsidRPr="00013FD0" w:rsidRDefault="00013FD0" w:rsidP="00013FD0">
      <w:pPr>
        <w:rPr>
          <w:sz w:val="32"/>
          <w:szCs w:val="32"/>
        </w:rPr>
      </w:pPr>
      <w:bookmarkStart w:id="11" w:name="Anchor114"/>
      <w:bookmarkEnd w:id="11"/>
      <w:r w:rsidRPr="00013FD0">
        <w:rPr>
          <w:sz w:val="32"/>
          <w:szCs w:val="32"/>
          <w:rtl/>
        </w:rPr>
        <w:t>حيث إن الطعن إستوفى أوضاعه الشكلية</w:t>
      </w:r>
      <w:r w:rsidRPr="00013FD0">
        <w:rPr>
          <w:sz w:val="32"/>
          <w:szCs w:val="32"/>
        </w:rPr>
        <w:t>.</w:t>
      </w:r>
    </w:p>
    <w:p w:rsidR="00013FD0" w:rsidRPr="00013FD0" w:rsidRDefault="00013FD0" w:rsidP="00013FD0">
      <w:pPr>
        <w:rPr>
          <w:sz w:val="32"/>
          <w:szCs w:val="32"/>
        </w:rPr>
      </w:pPr>
      <w:bookmarkStart w:id="12" w:name="Anchor119"/>
      <w:bookmarkEnd w:id="12"/>
      <w:r w:rsidRPr="00013FD0">
        <w:rPr>
          <w:sz w:val="32"/>
          <w:szCs w:val="32"/>
          <w:rtl/>
        </w:rPr>
        <w:lastRenderedPageBreak/>
        <w:t xml:space="preserve">وحيث إن الوقائع </w:t>
      </w:r>
      <w:r w:rsidRPr="00013FD0">
        <w:rPr>
          <w:sz w:val="32"/>
          <w:szCs w:val="32"/>
        </w:rPr>
        <w:t xml:space="preserve">– </w:t>
      </w:r>
      <w:r w:rsidRPr="00013FD0">
        <w:rPr>
          <w:sz w:val="32"/>
          <w:szCs w:val="32"/>
          <w:rtl/>
        </w:rPr>
        <w:t xml:space="preserve">على ما يبين من الحكم المطعون فيه وسائر الأوراق </w:t>
      </w:r>
      <w:r w:rsidRPr="00013FD0">
        <w:rPr>
          <w:sz w:val="32"/>
          <w:szCs w:val="32"/>
        </w:rPr>
        <w:t xml:space="preserve">- </w:t>
      </w:r>
      <w:r w:rsidRPr="00013FD0">
        <w:rPr>
          <w:sz w:val="32"/>
          <w:szCs w:val="32"/>
          <w:rtl/>
        </w:rPr>
        <w:t xml:space="preserve">تتحصل في أن الشركة الطاعنة أقامت على المطعون ضدها الدعوى رقم 4861 لسنة 2010 تجاري كلي بطلب الحكم بإلزامها بأن تؤدي لها مبلغ </w:t>
      </w:r>
      <w:r w:rsidRPr="00013FD0">
        <w:rPr>
          <w:sz w:val="32"/>
          <w:szCs w:val="32"/>
        </w:rPr>
        <w:t xml:space="preserve">8592 </w:t>
      </w:r>
      <w:r w:rsidRPr="00013FD0">
        <w:rPr>
          <w:sz w:val="32"/>
          <w:szCs w:val="32"/>
          <w:rtl/>
        </w:rPr>
        <w:t xml:space="preserve">د.ك وقالت بياناً لدعواها أنه بموجب العقد المؤرخ 2001/9/30 إتفقا على تخصيص الشالية المبين بالصحيفة للمطعون ضدها للإنتفاع به حتى تاريخ 2018/5/30 وإنه إستناداً للبند الثالث من العقد تلتزم الأخيرة سنوياً بسداد مبلغ 2500 د.ك رسوم الخدمات المتفق عليها بهذا البند وقد تجمد في ذمتها المبلغ المطالب به عن الفترة من عام </w:t>
      </w:r>
      <w:r w:rsidRPr="00013FD0">
        <w:rPr>
          <w:sz w:val="32"/>
          <w:szCs w:val="32"/>
        </w:rPr>
        <w:t xml:space="preserve">2005 </w:t>
      </w:r>
      <w:r w:rsidRPr="00013FD0">
        <w:rPr>
          <w:sz w:val="32"/>
          <w:szCs w:val="32"/>
          <w:rtl/>
        </w:rPr>
        <w:t xml:space="preserve">حتى نهاية عام </w:t>
      </w:r>
      <w:r w:rsidRPr="00013FD0">
        <w:rPr>
          <w:sz w:val="32"/>
          <w:szCs w:val="32"/>
        </w:rPr>
        <w:t xml:space="preserve">2010 </w:t>
      </w:r>
      <w:r w:rsidRPr="00013FD0">
        <w:rPr>
          <w:sz w:val="32"/>
          <w:szCs w:val="32"/>
          <w:rtl/>
        </w:rPr>
        <w:t xml:space="preserve">بعد تحصيل المبلغ المقضي به في الدعوى رقم 656 لسنة 2005 تجاري كلي وإستنئافها رقم 1350 لسنة 2005 تجاري ولإمتناعها عن السداد أقامت الدعوى </w:t>
      </w:r>
      <w:r w:rsidRPr="00013FD0">
        <w:rPr>
          <w:sz w:val="32"/>
          <w:szCs w:val="32"/>
        </w:rPr>
        <w:t xml:space="preserve">– </w:t>
      </w:r>
      <w:r w:rsidRPr="00013FD0">
        <w:rPr>
          <w:sz w:val="32"/>
          <w:szCs w:val="32"/>
          <w:rtl/>
        </w:rPr>
        <w:t xml:space="preserve">ندبت المحكمة خبيراً وبعد أن أودع تقريره حكمت بإلزام المطعون ضدها بأن تؤدي للطاعنة مبلغ </w:t>
      </w:r>
      <w:r w:rsidRPr="00013FD0">
        <w:rPr>
          <w:sz w:val="32"/>
          <w:szCs w:val="32"/>
        </w:rPr>
        <w:t xml:space="preserve">8521 </w:t>
      </w:r>
      <w:r w:rsidRPr="00013FD0">
        <w:rPr>
          <w:sz w:val="32"/>
          <w:szCs w:val="32"/>
          <w:rtl/>
        </w:rPr>
        <w:t xml:space="preserve">د.ك إستأنفت المحكوم عليها هذا الحكم بالإستئناف رقم 1454/2012 تجاري ندبت المحكمة خبيراً وبعد أن أودع تقريره قضت بتاريخ 2013/6/20 بتعديل الحكم المستأنف بإلزام المطعون ضدها بأن تؤدي للطاعنة مبلغ </w:t>
      </w:r>
      <w:r w:rsidRPr="00013FD0">
        <w:rPr>
          <w:sz w:val="32"/>
          <w:szCs w:val="32"/>
        </w:rPr>
        <w:t xml:space="preserve">634 </w:t>
      </w:r>
      <w:r w:rsidRPr="00013FD0">
        <w:rPr>
          <w:sz w:val="32"/>
          <w:szCs w:val="32"/>
          <w:rtl/>
        </w:rPr>
        <w:t>د.ك طعنت الطاعنة في هذا الحكم بطريق التمييز وقدمت المطعون ضدها حافظة مستندات ومذكرة طلبت في ختامها رفض الطعن وأودعت النيابة مذكرة أبدت فيها الرأي بتمييز الحكم المطعون فيه وإذ عُرض الطعن على هذه المحكمة في غرفة المشورة حددت جلسة لنظره التزمت فيها النيابة رأيها</w:t>
      </w:r>
      <w:r w:rsidRPr="00013FD0">
        <w:rPr>
          <w:sz w:val="32"/>
          <w:szCs w:val="32"/>
        </w:rPr>
        <w:t>.</w:t>
      </w:r>
    </w:p>
    <w:p w:rsidR="00013FD0" w:rsidRPr="00013FD0" w:rsidRDefault="00013FD0" w:rsidP="00013FD0">
      <w:pPr>
        <w:rPr>
          <w:sz w:val="32"/>
          <w:szCs w:val="32"/>
        </w:rPr>
      </w:pPr>
      <w:bookmarkStart w:id="13" w:name="Anchor235"/>
      <w:bookmarkEnd w:id="13"/>
      <w:r w:rsidRPr="00013FD0">
        <w:rPr>
          <w:sz w:val="32"/>
          <w:szCs w:val="32"/>
          <w:rtl/>
        </w:rPr>
        <w:t xml:space="preserve">وحيث إن مما تنعاه الطاعنة على الحكم المطعون فيه القصور في التسبيب والفساد في الإستدلال والإخلال بحق الدفاع وفي بيان ذلك تقول أن الخبير قام بإحتساب نسبة مئوية تتحملها المطعون ضدها بالمخالفة للبند 15 من العقد وهى مسألة قانونية لا يجوز للخبرة بحثها وأن الخبير الهندسي إكتفى بالإطلاع على المستندات المقدمة للخبير الحسابي دون الإنتقال إلى الشالية للوقوف على حقيقة الخدمات المقدمة وإنتهى إلى أن قيمة تلك الخدمات </w:t>
      </w:r>
      <w:r w:rsidRPr="00013FD0">
        <w:rPr>
          <w:sz w:val="32"/>
          <w:szCs w:val="32"/>
        </w:rPr>
        <w:t xml:space="preserve">634 </w:t>
      </w:r>
      <w:r w:rsidRPr="00013FD0">
        <w:rPr>
          <w:sz w:val="32"/>
          <w:szCs w:val="32"/>
          <w:rtl/>
        </w:rPr>
        <w:t xml:space="preserve">د.ك وهوم بلغ زهيد أضر بها وبالمخالفة لتقارير الخبرة الصادرة في نزاعات مماثلة لمنتفعي الشاليهات والتي أثبتت وجود الخدمات من خلال الإنتقال إلى عين النزاع والمعاينة والتفت عن المستندات الدالة على وجود الخدمات وقام بإحتساب قيمة العقود المبرمة مع الجهات التي تقدم الخدمات والصيانة في المنتجع بطريقة خاطئة وأن الرسوم التي إنتهى إليها الخبير تقل عن الرسوم التي يلتزم بها المنتفعين بالشاليهات المجاورة للمطعون ضدها كما أنها قدمت المستندات الدالة على أن تقرير الخبرة معيب وهى الأحكام القضائية الصادرة ضده منتفعين آخرين بالشاليهات وقضي بإلزامهم بالرسوم وأن هذه الأحكام دالة على عدم جواز تخفيض تلك الرسوم كما قدمت تقارير الخبراء التي تتعلق بذات الموضوع، كما أن تقرير الخبرة الثاني أثبت إنشغال ذمة المطعون ضدها بمبلغ </w:t>
      </w:r>
      <w:r w:rsidRPr="00013FD0">
        <w:rPr>
          <w:sz w:val="32"/>
          <w:szCs w:val="32"/>
        </w:rPr>
        <w:t xml:space="preserve">634 </w:t>
      </w:r>
      <w:r w:rsidRPr="00013FD0">
        <w:rPr>
          <w:sz w:val="32"/>
          <w:szCs w:val="32"/>
          <w:rtl/>
        </w:rPr>
        <w:t xml:space="preserve">د.ك وهو أقل من الذي قررت الأخيرة التزامها به بصحيفة الإستئناف إذ طلبت إلزامها بمبلغ </w:t>
      </w:r>
      <w:r w:rsidRPr="00013FD0">
        <w:rPr>
          <w:sz w:val="32"/>
          <w:szCs w:val="32"/>
        </w:rPr>
        <w:t xml:space="preserve">1257.702 </w:t>
      </w:r>
      <w:r w:rsidRPr="00013FD0">
        <w:rPr>
          <w:sz w:val="32"/>
          <w:szCs w:val="32"/>
          <w:rtl/>
        </w:rPr>
        <w:t>د.ك كما أن الطاعنة طلبت إعادة الدعوى للخبراء لبحث إعتراضاتها</w:t>
      </w:r>
      <w:r w:rsidRPr="00013FD0">
        <w:rPr>
          <w:sz w:val="32"/>
          <w:szCs w:val="32"/>
        </w:rPr>
        <w:t xml:space="preserve">. </w:t>
      </w:r>
      <w:r w:rsidRPr="00013FD0">
        <w:rPr>
          <w:sz w:val="32"/>
          <w:szCs w:val="32"/>
          <w:rtl/>
        </w:rPr>
        <w:t xml:space="preserve">وإذ قضي الحكم المطعون فيه بتعديل حكم أول درجة بإلزام المطعون ضدها بأن تؤدي لها مبلغ </w:t>
      </w:r>
      <w:r w:rsidRPr="00013FD0">
        <w:rPr>
          <w:sz w:val="32"/>
          <w:szCs w:val="32"/>
        </w:rPr>
        <w:t xml:space="preserve">634 </w:t>
      </w:r>
      <w:r w:rsidRPr="00013FD0">
        <w:rPr>
          <w:sz w:val="32"/>
          <w:szCs w:val="32"/>
          <w:rtl/>
        </w:rPr>
        <w:t>د.ك إستناداً إلى تقرير الخبير الثاني فإنه يكون معيباً بما يستوجب تمييزه</w:t>
      </w:r>
      <w:r w:rsidRPr="00013FD0">
        <w:rPr>
          <w:sz w:val="32"/>
          <w:szCs w:val="32"/>
        </w:rPr>
        <w:t>.</w:t>
      </w:r>
    </w:p>
    <w:p w:rsidR="00013FD0" w:rsidRPr="00013FD0" w:rsidRDefault="00013FD0" w:rsidP="00013FD0">
      <w:pPr>
        <w:rPr>
          <w:sz w:val="32"/>
          <w:szCs w:val="32"/>
        </w:rPr>
      </w:pPr>
      <w:bookmarkStart w:id="14" w:name="Anchor378"/>
      <w:bookmarkEnd w:id="14"/>
      <w:r w:rsidRPr="00013FD0">
        <w:rPr>
          <w:sz w:val="32"/>
          <w:szCs w:val="32"/>
          <w:rtl/>
        </w:rPr>
        <w:t xml:space="preserve">وحيث إن هذا النعي في محله </w:t>
      </w:r>
      <w:r w:rsidRPr="00013FD0">
        <w:rPr>
          <w:sz w:val="32"/>
          <w:szCs w:val="32"/>
        </w:rPr>
        <w:t xml:space="preserve">- </w:t>
      </w:r>
      <w:r w:rsidRPr="00013FD0">
        <w:rPr>
          <w:sz w:val="32"/>
          <w:szCs w:val="32"/>
          <w:rtl/>
        </w:rPr>
        <w:t xml:space="preserve">ذلك أن </w:t>
      </w:r>
      <w:bookmarkStart w:id="15" w:name="TM2014_1664_1"/>
      <w:bookmarkEnd w:id="15"/>
      <w:r w:rsidRPr="00013FD0">
        <w:rPr>
          <w:b/>
          <w:bCs/>
          <w:sz w:val="32"/>
          <w:szCs w:val="32"/>
          <w:rtl/>
        </w:rPr>
        <w:t xml:space="preserve">المقرر </w:t>
      </w:r>
      <w:r w:rsidRPr="00013FD0">
        <w:rPr>
          <w:b/>
          <w:bCs/>
          <w:sz w:val="32"/>
          <w:szCs w:val="32"/>
        </w:rPr>
        <w:t xml:space="preserve">- </w:t>
      </w:r>
      <w:r w:rsidRPr="00013FD0">
        <w:rPr>
          <w:b/>
          <w:bCs/>
          <w:sz w:val="32"/>
          <w:szCs w:val="32"/>
          <w:rtl/>
        </w:rPr>
        <w:t xml:space="preserve">في قضاء هذه المحكمة </w:t>
      </w:r>
      <w:r w:rsidRPr="00013FD0">
        <w:rPr>
          <w:b/>
          <w:bCs/>
          <w:sz w:val="32"/>
          <w:szCs w:val="32"/>
        </w:rPr>
        <w:t>- "</w:t>
      </w:r>
      <w:r w:rsidRPr="00013FD0">
        <w:rPr>
          <w:b/>
          <w:bCs/>
          <w:sz w:val="32"/>
          <w:szCs w:val="32"/>
          <w:rtl/>
        </w:rPr>
        <w:t xml:space="preserve">أن النص في المادة 144/1 من قانون المرافعات المدنية والتجارية على أن الإستئناف ينقل الدعوى بحالتها التي كانت عليها قبل صدور الحكم المستأنف بالنسبة لما رُفع عنه الاستئناف فقط" يدل على أن نطاق الإستئناف لا يتحدد بكل ما عُرض من طلبات على محكمة أول درجة وإنما بطلبات المستأنف الواردة في صحيفة إستئنافه ويخرج من سلطة محكمة الإستئناف ما لم تتناوله تلك الطلبات مما فصلت فيه محكمة أول درجة بصفة قطعية صراحة أو ضمناً في المنطوق أو الأسباب المرتبطة به إرتباطاً وثيقاً، ويتعين على محكمة الإستئناف أن تتقيد بذلك القضاء لصيرورته نهائياً حائزاً لقوة الأمر المقضي </w:t>
      </w:r>
      <w:r w:rsidRPr="00013FD0">
        <w:rPr>
          <w:sz w:val="32"/>
          <w:szCs w:val="32"/>
          <w:rtl/>
        </w:rPr>
        <w:t xml:space="preserve">وأن </w:t>
      </w:r>
      <w:bookmarkStart w:id="16" w:name="TM2014_1664_2"/>
      <w:bookmarkEnd w:id="16"/>
      <w:r w:rsidRPr="00013FD0">
        <w:rPr>
          <w:b/>
          <w:bCs/>
          <w:sz w:val="32"/>
          <w:szCs w:val="32"/>
          <w:rtl/>
        </w:rPr>
        <w:t>المناط في تحديد الجزء المطعون فيه بالإستئناف من قضاء محكمة أول درجة هو طلبات المستأنف الواردة بصحيفة الإستئناف وليس الأسباب التي إستند إليها في طلب إلغاء الحكم الإبتدائي</w:t>
      </w:r>
      <w:r w:rsidRPr="00013FD0">
        <w:rPr>
          <w:sz w:val="32"/>
          <w:szCs w:val="32"/>
          <w:rtl/>
        </w:rPr>
        <w:t xml:space="preserve"> </w:t>
      </w:r>
      <w:r w:rsidRPr="00013FD0">
        <w:rPr>
          <w:sz w:val="32"/>
          <w:szCs w:val="32"/>
        </w:rPr>
        <w:t xml:space="preserve">- </w:t>
      </w:r>
      <w:r w:rsidRPr="00013FD0">
        <w:rPr>
          <w:sz w:val="32"/>
          <w:szCs w:val="32"/>
          <w:rtl/>
        </w:rPr>
        <w:t xml:space="preserve">كما أن </w:t>
      </w:r>
      <w:bookmarkStart w:id="17" w:name="TM2014_1664_3"/>
      <w:bookmarkEnd w:id="17"/>
      <w:r w:rsidRPr="00013FD0">
        <w:rPr>
          <w:b/>
          <w:bCs/>
          <w:sz w:val="32"/>
          <w:szCs w:val="32"/>
          <w:rtl/>
        </w:rPr>
        <w:t xml:space="preserve">المقرر </w:t>
      </w:r>
      <w:r w:rsidRPr="00013FD0">
        <w:rPr>
          <w:b/>
          <w:bCs/>
          <w:sz w:val="32"/>
          <w:szCs w:val="32"/>
        </w:rPr>
        <w:t xml:space="preserve">– </w:t>
      </w:r>
      <w:r w:rsidRPr="00013FD0">
        <w:rPr>
          <w:b/>
          <w:bCs/>
          <w:sz w:val="32"/>
          <w:szCs w:val="32"/>
          <w:rtl/>
        </w:rPr>
        <w:t xml:space="preserve">أن أسباب الحكم تعتبر مشوبه بالفساد في الإستدلال إذا إنطوت على عيب يمس سلامة الإستنباط ويتحقق ذلك إذا إستندت المحكمة في إقتناعها إلى أدلة غير صالحة من الناحية الموضوعية للإقتناع بها أو إلى عدم فهم العناصر الواقعية التي تثبت لديها أو وقوع تناقض بين هذه العناصر، كما في حالة عدم اللزوم المنطقي للنتيجة التي إنتهت إليها المحكمة بناء على تلك العناصر التي ثبتت لديها </w:t>
      </w:r>
      <w:r w:rsidRPr="00013FD0">
        <w:rPr>
          <w:sz w:val="32"/>
          <w:szCs w:val="32"/>
          <w:rtl/>
        </w:rPr>
        <w:t xml:space="preserve">وبأنه </w:t>
      </w:r>
      <w:bookmarkStart w:id="18" w:name="TM2014_1664_4"/>
      <w:bookmarkEnd w:id="18"/>
      <w:r w:rsidRPr="00013FD0">
        <w:rPr>
          <w:b/>
          <w:bCs/>
          <w:sz w:val="32"/>
          <w:szCs w:val="32"/>
          <w:rtl/>
        </w:rPr>
        <w:t>إذا كانت محكمة الموضوع قد بنت حكمها على فهم حصلته مخالفاً للثابت بأوراق الدعوى فإن حكمها يكون باطلاً</w:t>
      </w:r>
      <w:r w:rsidRPr="00013FD0">
        <w:rPr>
          <w:b/>
          <w:bCs/>
          <w:sz w:val="32"/>
          <w:szCs w:val="32"/>
        </w:rPr>
        <w:t xml:space="preserve">. </w:t>
      </w:r>
      <w:r w:rsidRPr="00013FD0">
        <w:rPr>
          <w:sz w:val="32"/>
          <w:szCs w:val="32"/>
          <w:rtl/>
        </w:rPr>
        <w:t xml:space="preserve">كما وأنه </w:t>
      </w:r>
      <w:bookmarkStart w:id="19" w:name="TM2014_1664_5"/>
      <w:bookmarkEnd w:id="19"/>
      <w:r w:rsidRPr="00013FD0">
        <w:rPr>
          <w:b/>
          <w:bCs/>
          <w:sz w:val="32"/>
          <w:szCs w:val="32"/>
          <w:rtl/>
        </w:rPr>
        <w:t xml:space="preserve">ولئن كان لمحكمة الموضوع </w:t>
      </w:r>
      <w:r w:rsidRPr="00013FD0">
        <w:rPr>
          <w:b/>
          <w:bCs/>
          <w:sz w:val="32"/>
          <w:szCs w:val="32"/>
        </w:rPr>
        <w:t xml:space="preserve">– </w:t>
      </w:r>
      <w:r w:rsidRPr="00013FD0">
        <w:rPr>
          <w:b/>
          <w:bCs/>
          <w:sz w:val="32"/>
          <w:szCs w:val="32"/>
          <w:rtl/>
        </w:rPr>
        <w:t xml:space="preserve">في سبيل تكوين عقيدتها </w:t>
      </w:r>
      <w:r w:rsidRPr="00013FD0">
        <w:rPr>
          <w:b/>
          <w:bCs/>
          <w:sz w:val="32"/>
          <w:szCs w:val="32"/>
        </w:rPr>
        <w:t xml:space="preserve">– </w:t>
      </w:r>
      <w:r w:rsidRPr="00013FD0">
        <w:rPr>
          <w:b/>
          <w:bCs/>
          <w:sz w:val="32"/>
          <w:szCs w:val="32"/>
          <w:rtl/>
        </w:rPr>
        <w:t>أن تأخذ بتقرير الخبير المقدم في الدعوى بإعتباره عنصراً من عناصر الإثبات فيها إلا أن شرط ذلك أن يكون التقرير قد إستوى على أسباب سائغة تحمل النتيجة التي إنتهى إليها،</w:t>
      </w:r>
    </w:p>
    <w:p w:rsidR="00013FD0" w:rsidRPr="00013FD0" w:rsidRDefault="00013FD0" w:rsidP="00013FD0">
      <w:pPr>
        <w:rPr>
          <w:sz w:val="32"/>
          <w:szCs w:val="32"/>
        </w:rPr>
      </w:pPr>
      <w:bookmarkStart w:id="20" w:name="Anchor536"/>
      <w:bookmarkStart w:id="21" w:name="TM2014_1664_6"/>
      <w:bookmarkEnd w:id="20"/>
      <w:bookmarkEnd w:id="21"/>
      <w:r w:rsidRPr="00013FD0">
        <w:rPr>
          <w:b/>
          <w:bCs/>
          <w:sz w:val="32"/>
          <w:szCs w:val="32"/>
          <w:rtl/>
        </w:rPr>
        <w:t>كما أنه إذا كانت هذه النتيجة قد تعارضت مع دفاع جوهري أبداه أحد الخصوم وإستدل على صحته بمستندات قدمها إلى المحكمة فإنه يتعين عليها حينئذ أن تمحص هذا الدفاع على ضوء ما تنطوي عليه هذه المستندات من دلالة وإلا كان حكمها مشوباً بالقصور في التسبيب</w:t>
      </w:r>
      <w:r w:rsidRPr="00013FD0">
        <w:rPr>
          <w:b/>
          <w:bCs/>
          <w:sz w:val="32"/>
          <w:szCs w:val="32"/>
        </w:rPr>
        <w:t xml:space="preserve">. </w:t>
      </w:r>
      <w:r w:rsidRPr="00013FD0">
        <w:rPr>
          <w:sz w:val="32"/>
          <w:szCs w:val="32"/>
          <w:rtl/>
        </w:rPr>
        <w:t xml:space="preserve">لما كان ذلك وكان الحكم الابتدائي قد قضي بإلزام المطعون ضدها بأن تؤدي للشركة الطاعنة مبلغ </w:t>
      </w:r>
      <w:r w:rsidRPr="00013FD0">
        <w:rPr>
          <w:sz w:val="32"/>
          <w:szCs w:val="32"/>
        </w:rPr>
        <w:t xml:space="preserve">8521 </w:t>
      </w:r>
      <w:r w:rsidRPr="00013FD0">
        <w:rPr>
          <w:sz w:val="32"/>
          <w:szCs w:val="32"/>
          <w:rtl/>
        </w:rPr>
        <w:t xml:space="preserve">د.ك وإذ كان البين من صحيفة إستئناف المطعون ضدها لذلك الحكم أن ختام طلباتها إقتصرت على طلب تعديل المبلغ المقضي به إلى </w:t>
      </w:r>
      <w:r w:rsidRPr="00013FD0">
        <w:rPr>
          <w:sz w:val="32"/>
          <w:szCs w:val="32"/>
        </w:rPr>
        <w:t xml:space="preserve">1257.702 </w:t>
      </w:r>
      <w:r w:rsidRPr="00013FD0">
        <w:rPr>
          <w:sz w:val="32"/>
          <w:szCs w:val="32"/>
          <w:rtl/>
        </w:rPr>
        <w:t xml:space="preserve">د.ك ولا عبرة لطلبها بمذكرتها المقدمة بجلسة 2013/5/16 بعد فوات ميعاد الإستئناف إلى تعديل المبلغ المقضي به إلى </w:t>
      </w:r>
      <w:r w:rsidRPr="00013FD0">
        <w:rPr>
          <w:sz w:val="32"/>
          <w:szCs w:val="32"/>
        </w:rPr>
        <w:t xml:space="preserve">634 </w:t>
      </w:r>
      <w:r w:rsidRPr="00013FD0">
        <w:rPr>
          <w:sz w:val="32"/>
          <w:szCs w:val="32"/>
          <w:rtl/>
        </w:rPr>
        <w:t xml:space="preserve">د.ك إذ المعول عليه </w:t>
      </w:r>
      <w:r w:rsidRPr="00013FD0">
        <w:rPr>
          <w:sz w:val="32"/>
          <w:szCs w:val="32"/>
        </w:rPr>
        <w:t xml:space="preserve">- </w:t>
      </w:r>
      <w:r w:rsidRPr="00013FD0">
        <w:rPr>
          <w:sz w:val="32"/>
          <w:szCs w:val="32"/>
          <w:rtl/>
        </w:rPr>
        <w:t xml:space="preserve">وعلى ما سلف في تحديد نطاق الإستئناف هو الطلبات الواردة بالصحيفة وما قدم منها في الميعاد وإذ أقام الحكم المطعون فيه قضاءه بتعديل حكم أول درجة بإلزام المطعون ضدها بأن تؤدي للطاعنة المبلغ الأخير إستناداً إلى تقرير الخبرة الثاني </w:t>
      </w:r>
      <w:r w:rsidRPr="00013FD0">
        <w:rPr>
          <w:sz w:val="32"/>
          <w:szCs w:val="32"/>
        </w:rPr>
        <w:t xml:space="preserve">– </w:t>
      </w:r>
      <w:r w:rsidRPr="00013FD0">
        <w:rPr>
          <w:sz w:val="32"/>
          <w:szCs w:val="32"/>
          <w:rtl/>
        </w:rPr>
        <w:t xml:space="preserve">رغم تعارض نتيجته مع ما أبدته الطاعنة من دفاع جوهري إستدلت على صحته بمستندات قدمتها </w:t>
      </w:r>
      <w:r w:rsidRPr="00013FD0">
        <w:rPr>
          <w:sz w:val="32"/>
          <w:szCs w:val="32"/>
        </w:rPr>
        <w:t xml:space="preserve">– </w:t>
      </w:r>
      <w:r w:rsidRPr="00013FD0">
        <w:rPr>
          <w:sz w:val="32"/>
          <w:szCs w:val="32"/>
          <w:rtl/>
        </w:rPr>
        <w:t xml:space="preserve">وهي الأحكام السابق صدورها بين الطرفين </w:t>
      </w:r>
      <w:r w:rsidRPr="00013FD0">
        <w:rPr>
          <w:sz w:val="32"/>
          <w:szCs w:val="32"/>
        </w:rPr>
        <w:t xml:space="preserve">- </w:t>
      </w:r>
      <w:r w:rsidRPr="00013FD0">
        <w:rPr>
          <w:sz w:val="32"/>
          <w:szCs w:val="32"/>
          <w:rtl/>
        </w:rPr>
        <w:t>فضلاً عن أنه لا يجوز تجاوز نطاق الإستئناف وهي الواردة بصحيفته مما يعيب الحكم ويوجب تمييزه</w:t>
      </w:r>
      <w:r w:rsidRPr="00013FD0">
        <w:rPr>
          <w:sz w:val="32"/>
          <w:szCs w:val="32"/>
        </w:rPr>
        <w:t>.</w:t>
      </w:r>
    </w:p>
    <w:p w:rsidR="00013FD0" w:rsidRPr="00013FD0" w:rsidRDefault="00013FD0" w:rsidP="00013FD0">
      <w:pPr>
        <w:rPr>
          <w:sz w:val="32"/>
          <w:szCs w:val="32"/>
        </w:rPr>
      </w:pPr>
      <w:bookmarkStart w:id="22" w:name="Anchor639"/>
      <w:bookmarkEnd w:id="22"/>
      <w:r w:rsidRPr="00013FD0">
        <w:rPr>
          <w:sz w:val="32"/>
          <w:szCs w:val="32"/>
          <w:rtl/>
        </w:rPr>
        <w:t>وحيث أنه عن موضوع الإستئناف رقم 1454/2012 تجاري فهو صالح للفصل فيه ولما تقدم فإنه يتعين تعديل الحكم المستأنف إلى إلزام المستأنفة بأن تؤدي للمستأنف ضدها مبلغ 1257.702 د.ك والمناسب من المصروفات</w:t>
      </w:r>
      <w:r w:rsidRPr="00013FD0">
        <w:rPr>
          <w:sz w:val="32"/>
          <w:szCs w:val="32"/>
        </w:rPr>
        <w:t>.</w:t>
      </w:r>
    </w:p>
    <w:p w:rsidR="00013FD0" w:rsidRPr="00013FD0" w:rsidRDefault="00013FD0" w:rsidP="00013FD0">
      <w:pPr>
        <w:rPr>
          <w:sz w:val="32"/>
          <w:szCs w:val="32"/>
        </w:rPr>
      </w:pPr>
      <w:bookmarkStart w:id="23" w:name="Anchor657"/>
      <w:bookmarkEnd w:id="23"/>
      <w:r w:rsidRPr="00013FD0">
        <w:rPr>
          <w:b/>
          <w:bCs/>
          <w:sz w:val="32"/>
          <w:szCs w:val="32"/>
          <w:rtl/>
        </w:rPr>
        <w:t>لذلك</w:t>
      </w:r>
    </w:p>
    <w:p w:rsidR="00013FD0" w:rsidRPr="00013FD0" w:rsidRDefault="00013FD0" w:rsidP="00013FD0">
      <w:pPr>
        <w:rPr>
          <w:sz w:val="32"/>
          <w:szCs w:val="32"/>
        </w:rPr>
      </w:pPr>
      <w:bookmarkStart w:id="24" w:name="Anchor658"/>
      <w:bookmarkEnd w:id="24"/>
      <w:r w:rsidRPr="00013FD0">
        <w:rPr>
          <w:b/>
          <w:bCs/>
          <w:sz w:val="32"/>
          <w:szCs w:val="32"/>
          <w:rtl/>
        </w:rPr>
        <w:t>حكمت المحكمة أولاً</w:t>
      </w:r>
      <w:r w:rsidRPr="00013FD0">
        <w:rPr>
          <w:b/>
          <w:bCs/>
          <w:sz w:val="32"/>
          <w:szCs w:val="32"/>
        </w:rPr>
        <w:t>:-</w:t>
      </w:r>
      <w:r w:rsidRPr="00013FD0">
        <w:rPr>
          <w:sz w:val="32"/>
          <w:szCs w:val="32"/>
        </w:rPr>
        <w:t xml:space="preserve"> </w:t>
      </w:r>
      <w:r w:rsidRPr="00013FD0">
        <w:rPr>
          <w:sz w:val="32"/>
          <w:szCs w:val="32"/>
          <w:rtl/>
        </w:rPr>
        <w:t>بقبول الطعن شكلاً وفي الموضوع بتمييز الحكم المطعون فيه وألزمت المطعون ضدها الأولى المصروفات وعشرين ديناراً مقابل أتعاب المحاماة</w:t>
      </w:r>
      <w:r w:rsidRPr="00013FD0">
        <w:rPr>
          <w:sz w:val="32"/>
          <w:szCs w:val="32"/>
        </w:rPr>
        <w:t>.</w:t>
      </w:r>
    </w:p>
    <w:p w:rsidR="00013FD0" w:rsidRPr="00013FD0" w:rsidRDefault="00013FD0" w:rsidP="00013FD0">
      <w:pPr>
        <w:rPr>
          <w:sz w:val="32"/>
          <w:szCs w:val="32"/>
        </w:rPr>
      </w:pPr>
      <w:bookmarkStart w:id="25" w:name="Anchor674"/>
      <w:bookmarkEnd w:id="25"/>
      <w:r w:rsidRPr="00013FD0">
        <w:rPr>
          <w:b/>
          <w:bCs/>
          <w:sz w:val="32"/>
          <w:szCs w:val="32"/>
          <w:rtl/>
        </w:rPr>
        <w:t>ثانياً</w:t>
      </w:r>
      <w:r w:rsidRPr="00013FD0">
        <w:rPr>
          <w:b/>
          <w:bCs/>
          <w:sz w:val="32"/>
          <w:szCs w:val="32"/>
        </w:rPr>
        <w:t>:-</w:t>
      </w:r>
      <w:r w:rsidRPr="00013FD0">
        <w:rPr>
          <w:sz w:val="32"/>
          <w:szCs w:val="32"/>
        </w:rPr>
        <w:t xml:space="preserve"> </w:t>
      </w:r>
      <w:r w:rsidRPr="00013FD0">
        <w:rPr>
          <w:sz w:val="32"/>
          <w:szCs w:val="32"/>
          <w:rtl/>
        </w:rPr>
        <w:t>وفي موضوع الإستئناف رقم 1454/2012 تجاري بتعديل الحكم المستأنف إلى إلزام المستأنفة بأن تؤدي للمستأنف ضدها مبلغ 1257.702 دينار ألف ومائتان وسبعة وخمسين ديناراً وسبعمائة وإثنين فلساً وألزمتها المناسب من المصروفات وخمسون ديناراً مقابل أتعاب المحاماة الفعلية</w:t>
      </w:r>
      <w:r w:rsidRPr="00013FD0">
        <w:rPr>
          <w:sz w:val="32"/>
          <w:szCs w:val="32"/>
        </w:rPr>
        <w:t>.</w:t>
      </w:r>
    </w:p>
    <w:p w:rsidR="00013FD0" w:rsidRPr="00013FD0" w:rsidRDefault="00013FD0" w:rsidP="00013FD0">
      <w:pPr>
        <w:rPr>
          <w:sz w:val="32"/>
          <w:szCs w:val="32"/>
        </w:rPr>
      </w:pPr>
    </w:p>
    <w:p w:rsidR="00013FD0" w:rsidRPr="00013FD0" w:rsidRDefault="00013FD0" w:rsidP="00013FD0">
      <w:pPr>
        <w:rPr>
          <w:sz w:val="32"/>
          <w:szCs w:val="32"/>
        </w:rPr>
      </w:pPr>
      <w:bookmarkStart w:id="26" w:name="Anchor700"/>
      <w:bookmarkEnd w:id="26"/>
      <w:r w:rsidRPr="00013FD0">
        <w:rPr>
          <w:sz w:val="32"/>
          <w:szCs w:val="32"/>
        </w:rPr>
        <w:t>* * *</w:t>
      </w:r>
    </w:p>
    <w:p w:rsidR="00D32E0F" w:rsidRPr="00013FD0" w:rsidRDefault="00D32E0F">
      <w:pPr>
        <w:rPr>
          <w:sz w:val="32"/>
          <w:szCs w:val="32"/>
        </w:rPr>
      </w:pPr>
    </w:p>
    <w:sectPr w:rsidR="00D32E0F" w:rsidRPr="00013FD0"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EC0"/>
    <w:rsid w:val="00013FD0"/>
    <w:rsid w:val="0003272B"/>
    <w:rsid w:val="002F3EC0"/>
    <w:rsid w:val="00D32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3F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3F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241698">
      <w:bodyDiv w:val="1"/>
      <w:marLeft w:val="0"/>
      <w:marRight w:val="0"/>
      <w:marTop w:val="0"/>
      <w:marBottom w:val="0"/>
      <w:divBdr>
        <w:top w:val="none" w:sz="0" w:space="0" w:color="auto"/>
        <w:left w:val="none" w:sz="0" w:space="0" w:color="auto"/>
        <w:bottom w:val="none" w:sz="0" w:space="0" w:color="auto"/>
        <w:right w:val="none" w:sz="0" w:space="0" w:color="auto"/>
      </w:divBdr>
      <w:divsChild>
        <w:div w:id="404767770">
          <w:marLeft w:val="0"/>
          <w:marRight w:val="0"/>
          <w:marTop w:val="0"/>
          <w:marBottom w:val="0"/>
          <w:divBdr>
            <w:top w:val="none" w:sz="0" w:space="0" w:color="auto"/>
            <w:left w:val="none" w:sz="0" w:space="0" w:color="auto"/>
            <w:bottom w:val="none" w:sz="0" w:space="0" w:color="auto"/>
            <w:right w:val="none" w:sz="0" w:space="0" w:color="auto"/>
          </w:divBdr>
        </w:div>
        <w:div w:id="1124037861">
          <w:marLeft w:val="0"/>
          <w:marRight w:val="0"/>
          <w:marTop w:val="0"/>
          <w:marBottom w:val="0"/>
          <w:divBdr>
            <w:top w:val="none" w:sz="0" w:space="0" w:color="auto"/>
            <w:left w:val="none" w:sz="0" w:space="0" w:color="auto"/>
            <w:bottom w:val="none" w:sz="0" w:space="0" w:color="auto"/>
            <w:right w:val="none" w:sz="0" w:space="0" w:color="auto"/>
          </w:divBdr>
        </w:div>
        <w:div w:id="828642112">
          <w:marLeft w:val="0"/>
          <w:marRight w:val="0"/>
          <w:marTop w:val="0"/>
          <w:marBottom w:val="0"/>
          <w:divBdr>
            <w:top w:val="none" w:sz="0" w:space="0" w:color="auto"/>
            <w:left w:val="none" w:sz="0" w:space="0" w:color="auto"/>
            <w:bottom w:val="none" w:sz="0" w:space="0" w:color="auto"/>
            <w:right w:val="none" w:sz="0" w:space="0" w:color="auto"/>
          </w:divBdr>
        </w:div>
        <w:div w:id="75787586">
          <w:marLeft w:val="0"/>
          <w:marRight w:val="0"/>
          <w:marTop w:val="0"/>
          <w:marBottom w:val="0"/>
          <w:divBdr>
            <w:top w:val="none" w:sz="0" w:space="0" w:color="auto"/>
            <w:left w:val="none" w:sz="0" w:space="0" w:color="auto"/>
            <w:bottom w:val="none" w:sz="0" w:space="0" w:color="auto"/>
            <w:right w:val="none" w:sz="0" w:space="0" w:color="auto"/>
          </w:divBdr>
        </w:div>
        <w:div w:id="729810174">
          <w:marLeft w:val="0"/>
          <w:marRight w:val="0"/>
          <w:marTop w:val="0"/>
          <w:marBottom w:val="0"/>
          <w:divBdr>
            <w:top w:val="none" w:sz="0" w:space="0" w:color="auto"/>
            <w:left w:val="none" w:sz="0" w:space="0" w:color="auto"/>
            <w:bottom w:val="none" w:sz="0" w:space="0" w:color="auto"/>
            <w:right w:val="none" w:sz="0" w:space="0" w:color="auto"/>
          </w:divBdr>
        </w:div>
        <w:div w:id="443304487">
          <w:marLeft w:val="0"/>
          <w:marRight w:val="0"/>
          <w:marTop w:val="0"/>
          <w:marBottom w:val="0"/>
          <w:divBdr>
            <w:top w:val="none" w:sz="0" w:space="0" w:color="auto"/>
            <w:left w:val="none" w:sz="0" w:space="0" w:color="auto"/>
            <w:bottom w:val="none" w:sz="0" w:space="0" w:color="auto"/>
            <w:right w:val="none" w:sz="0" w:space="0" w:color="auto"/>
          </w:divBdr>
        </w:div>
        <w:div w:id="1582908471">
          <w:marLeft w:val="0"/>
          <w:marRight w:val="0"/>
          <w:marTop w:val="0"/>
          <w:marBottom w:val="0"/>
          <w:divBdr>
            <w:top w:val="none" w:sz="0" w:space="0" w:color="auto"/>
            <w:left w:val="none" w:sz="0" w:space="0" w:color="auto"/>
            <w:bottom w:val="none" w:sz="0" w:space="0" w:color="auto"/>
            <w:right w:val="none" w:sz="0" w:space="0" w:color="auto"/>
          </w:divBdr>
        </w:div>
        <w:div w:id="102654430">
          <w:marLeft w:val="0"/>
          <w:marRight w:val="0"/>
          <w:marTop w:val="0"/>
          <w:marBottom w:val="0"/>
          <w:divBdr>
            <w:top w:val="none" w:sz="0" w:space="0" w:color="auto"/>
            <w:left w:val="none" w:sz="0" w:space="0" w:color="auto"/>
            <w:bottom w:val="none" w:sz="0" w:space="0" w:color="auto"/>
            <w:right w:val="none" w:sz="0" w:space="0" w:color="auto"/>
          </w:divBdr>
        </w:div>
        <w:div w:id="535168300">
          <w:marLeft w:val="0"/>
          <w:marRight w:val="0"/>
          <w:marTop w:val="0"/>
          <w:marBottom w:val="0"/>
          <w:divBdr>
            <w:top w:val="none" w:sz="0" w:space="0" w:color="auto"/>
            <w:left w:val="none" w:sz="0" w:space="0" w:color="auto"/>
            <w:bottom w:val="none" w:sz="0" w:space="0" w:color="auto"/>
            <w:right w:val="none" w:sz="0" w:space="0" w:color="auto"/>
          </w:divBdr>
        </w:div>
        <w:div w:id="1737431144">
          <w:marLeft w:val="0"/>
          <w:marRight w:val="0"/>
          <w:marTop w:val="0"/>
          <w:marBottom w:val="0"/>
          <w:divBdr>
            <w:top w:val="none" w:sz="0" w:space="0" w:color="auto"/>
            <w:left w:val="none" w:sz="0" w:space="0" w:color="auto"/>
            <w:bottom w:val="none" w:sz="0" w:space="0" w:color="auto"/>
            <w:right w:val="none" w:sz="0" w:space="0" w:color="auto"/>
          </w:divBdr>
        </w:div>
        <w:div w:id="1505050727">
          <w:marLeft w:val="0"/>
          <w:marRight w:val="0"/>
          <w:marTop w:val="0"/>
          <w:marBottom w:val="0"/>
          <w:divBdr>
            <w:top w:val="none" w:sz="0" w:space="0" w:color="auto"/>
            <w:left w:val="none" w:sz="0" w:space="0" w:color="auto"/>
            <w:bottom w:val="none" w:sz="0" w:space="0" w:color="auto"/>
            <w:right w:val="none" w:sz="0" w:space="0" w:color="auto"/>
          </w:divBdr>
        </w:div>
        <w:div w:id="1477987837">
          <w:marLeft w:val="0"/>
          <w:marRight w:val="0"/>
          <w:marTop w:val="0"/>
          <w:marBottom w:val="0"/>
          <w:divBdr>
            <w:top w:val="none" w:sz="0" w:space="0" w:color="auto"/>
            <w:left w:val="none" w:sz="0" w:space="0" w:color="auto"/>
            <w:bottom w:val="none" w:sz="0" w:space="0" w:color="auto"/>
            <w:right w:val="none" w:sz="0" w:space="0" w:color="auto"/>
          </w:divBdr>
        </w:div>
        <w:div w:id="240337925">
          <w:marLeft w:val="0"/>
          <w:marRight w:val="0"/>
          <w:marTop w:val="0"/>
          <w:marBottom w:val="0"/>
          <w:divBdr>
            <w:top w:val="none" w:sz="0" w:space="0" w:color="auto"/>
            <w:left w:val="none" w:sz="0" w:space="0" w:color="auto"/>
            <w:bottom w:val="none" w:sz="0" w:space="0" w:color="auto"/>
            <w:right w:val="none" w:sz="0" w:space="0" w:color="auto"/>
          </w:divBdr>
        </w:div>
        <w:div w:id="395518190">
          <w:marLeft w:val="0"/>
          <w:marRight w:val="0"/>
          <w:marTop w:val="0"/>
          <w:marBottom w:val="0"/>
          <w:divBdr>
            <w:top w:val="none" w:sz="0" w:space="0" w:color="auto"/>
            <w:left w:val="none" w:sz="0" w:space="0" w:color="auto"/>
            <w:bottom w:val="none" w:sz="0" w:space="0" w:color="auto"/>
            <w:right w:val="none" w:sz="0" w:space="0" w:color="auto"/>
          </w:divBdr>
        </w:div>
        <w:div w:id="1637492589">
          <w:marLeft w:val="0"/>
          <w:marRight w:val="0"/>
          <w:marTop w:val="0"/>
          <w:marBottom w:val="0"/>
          <w:divBdr>
            <w:top w:val="none" w:sz="0" w:space="0" w:color="auto"/>
            <w:left w:val="none" w:sz="0" w:space="0" w:color="auto"/>
            <w:bottom w:val="none" w:sz="0" w:space="0" w:color="auto"/>
            <w:right w:val="none" w:sz="0" w:space="0" w:color="auto"/>
          </w:divBdr>
        </w:div>
        <w:div w:id="164899262">
          <w:marLeft w:val="0"/>
          <w:marRight w:val="0"/>
          <w:marTop w:val="0"/>
          <w:marBottom w:val="0"/>
          <w:divBdr>
            <w:top w:val="none" w:sz="0" w:space="0" w:color="auto"/>
            <w:left w:val="none" w:sz="0" w:space="0" w:color="auto"/>
            <w:bottom w:val="none" w:sz="0" w:space="0" w:color="auto"/>
            <w:right w:val="none" w:sz="0" w:space="0" w:color="auto"/>
          </w:divBdr>
        </w:div>
        <w:div w:id="2042896821">
          <w:marLeft w:val="0"/>
          <w:marRight w:val="0"/>
          <w:marTop w:val="0"/>
          <w:marBottom w:val="0"/>
          <w:divBdr>
            <w:top w:val="none" w:sz="0" w:space="0" w:color="auto"/>
            <w:left w:val="none" w:sz="0" w:space="0" w:color="auto"/>
            <w:bottom w:val="none" w:sz="0" w:space="0" w:color="auto"/>
            <w:right w:val="none" w:sz="0" w:space="0" w:color="auto"/>
          </w:divBdr>
        </w:div>
        <w:div w:id="1075738626">
          <w:marLeft w:val="0"/>
          <w:marRight w:val="0"/>
          <w:marTop w:val="0"/>
          <w:marBottom w:val="0"/>
          <w:divBdr>
            <w:top w:val="none" w:sz="0" w:space="0" w:color="auto"/>
            <w:left w:val="none" w:sz="0" w:space="0" w:color="auto"/>
            <w:bottom w:val="none" w:sz="0" w:space="0" w:color="auto"/>
            <w:right w:val="none" w:sz="0" w:space="0" w:color="auto"/>
          </w:divBdr>
        </w:div>
        <w:div w:id="216665188">
          <w:marLeft w:val="0"/>
          <w:marRight w:val="0"/>
          <w:marTop w:val="0"/>
          <w:marBottom w:val="0"/>
          <w:divBdr>
            <w:top w:val="none" w:sz="0" w:space="0" w:color="auto"/>
            <w:left w:val="none" w:sz="0" w:space="0" w:color="auto"/>
            <w:bottom w:val="none" w:sz="0" w:space="0" w:color="auto"/>
            <w:right w:val="none" w:sz="0" w:space="0" w:color="auto"/>
          </w:divBdr>
        </w:div>
        <w:div w:id="1707872706">
          <w:marLeft w:val="0"/>
          <w:marRight w:val="0"/>
          <w:marTop w:val="0"/>
          <w:marBottom w:val="0"/>
          <w:divBdr>
            <w:top w:val="none" w:sz="0" w:space="0" w:color="auto"/>
            <w:left w:val="none" w:sz="0" w:space="0" w:color="auto"/>
            <w:bottom w:val="none" w:sz="0" w:space="0" w:color="auto"/>
            <w:right w:val="none" w:sz="0" w:space="0" w:color="auto"/>
          </w:divBdr>
        </w:div>
      </w:divsChild>
    </w:div>
    <w:div w:id="2128347899">
      <w:bodyDiv w:val="1"/>
      <w:marLeft w:val="0"/>
      <w:marRight w:val="0"/>
      <w:marTop w:val="0"/>
      <w:marBottom w:val="0"/>
      <w:divBdr>
        <w:top w:val="none" w:sz="0" w:space="0" w:color="auto"/>
        <w:left w:val="none" w:sz="0" w:space="0" w:color="auto"/>
        <w:bottom w:val="none" w:sz="0" w:space="0" w:color="auto"/>
        <w:right w:val="none" w:sz="0" w:space="0" w:color="auto"/>
      </w:divBdr>
      <w:divsChild>
        <w:div w:id="1813524418">
          <w:marLeft w:val="0"/>
          <w:marRight w:val="0"/>
          <w:marTop w:val="0"/>
          <w:marBottom w:val="0"/>
          <w:divBdr>
            <w:top w:val="none" w:sz="0" w:space="0" w:color="auto"/>
            <w:left w:val="none" w:sz="0" w:space="0" w:color="auto"/>
            <w:bottom w:val="none" w:sz="0" w:space="0" w:color="auto"/>
            <w:right w:val="none" w:sz="0" w:space="0" w:color="auto"/>
          </w:divBdr>
        </w:div>
        <w:div w:id="755785840">
          <w:marLeft w:val="0"/>
          <w:marRight w:val="0"/>
          <w:marTop w:val="0"/>
          <w:marBottom w:val="0"/>
          <w:divBdr>
            <w:top w:val="none" w:sz="0" w:space="0" w:color="auto"/>
            <w:left w:val="none" w:sz="0" w:space="0" w:color="auto"/>
            <w:bottom w:val="none" w:sz="0" w:space="0" w:color="auto"/>
            <w:right w:val="none" w:sz="0" w:space="0" w:color="auto"/>
          </w:divBdr>
        </w:div>
        <w:div w:id="1593665388">
          <w:marLeft w:val="0"/>
          <w:marRight w:val="0"/>
          <w:marTop w:val="0"/>
          <w:marBottom w:val="0"/>
          <w:divBdr>
            <w:top w:val="none" w:sz="0" w:space="0" w:color="auto"/>
            <w:left w:val="none" w:sz="0" w:space="0" w:color="auto"/>
            <w:bottom w:val="none" w:sz="0" w:space="0" w:color="auto"/>
            <w:right w:val="none" w:sz="0" w:space="0" w:color="auto"/>
          </w:divBdr>
        </w:div>
        <w:div w:id="957876684">
          <w:marLeft w:val="0"/>
          <w:marRight w:val="0"/>
          <w:marTop w:val="0"/>
          <w:marBottom w:val="0"/>
          <w:divBdr>
            <w:top w:val="none" w:sz="0" w:space="0" w:color="auto"/>
            <w:left w:val="none" w:sz="0" w:space="0" w:color="auto"/>
            <w:bottom w:val="none" w:sz="0" w:space="0" w:color="auto"/>
            <w:right w:val="none" w:sz="0" w:space="0" w:color="auto"/>
          </w:divBdr>
        </w:div>
        <w:div w:id="1774596602">
          <w:marLeft w:val="0"/>
          <w:marRight w:val="0"/>
          <w:marTop w:val="0"/>
          <w:marBottom w:val="0"/>
          <w:divBdr>
            <w:top w:val="none" w:sz="0" w:space="0" w:color="auto"/>
            <w:left w:val="none" w:sz="0" w:space="0" w:color="auto"/>
            <w:bottom w:val="none" w:sz="0" w:space="0" w:color="auto"/>
            <w:right w:val="none" w:sz="0" w:space="0" w:color="auto"/>
          </w:divBdr>
        </w:div>
        <w:div w:id="1221986640">
          <w:marLeft w:val="0"/>
          <w:marRight w:val="0"/>
          <w:marTop w:val="0"/>
          <w:marBottom w:val="0"/>
          <w:divBdr>
            <w:top w:val="none" w:sz="0" w:space="0" w:color="auto"/>
            <w:left w:val="none" w:sz="0" w:space="0" w:color="auto"/>
            <w:bottom w:val="none" w:sz="0" w:space="0" w:color="auto"/>
            <w:right w:val="none" w:sz="0" w:space="0" w:color="auto"/>
          </w:divBdr>
        </w:div>
        <w:div w:id="1298026042">
          <w:marLeft w:val="0"/>
          <w:marRight w:val="0"/>
          <w:marTop w:val="0"/>
          <w:marBottom w:val="0"/>
          <w:divBdr>
            <w:top w:val="none" w:sz="0" w:space="0" w:color="auto"/>
            <w:left w:val="none" w:sz="0" w:space="0" w:color="auto"/>
            <w:bottom w:val="none" w:sz="0" w:space="0" w:color="auto"/>
            <w:right w:val="none" w:sz="0" w:space="0" w:color="auto"/>
          </w:divBdr>
        </w:div>
        <w:div w:id="719863202">
          <w:marLeft w:val="0"/>
          <w:marRight w:val="0"/>
          <w:marTop w:val="0"/>
          <w:marBottom w:val="0"/>
          <w:divBdr>
            <w:top w:val="none" w:sz="0" w:space="0" w:color="auto"/>
            <w:left w:val="none" w:sz="0" w:space="0" w:color="auto"/>
            <w:bottom w:val="none" w:sz="0" w:space="0" w:color="auto"/>
            <w:right w:val="none" w:sz="0" w:space="0" w:color="auto"/>
          </w:divBdr>
        </w:div>
        <w:div w:id="231893477">
          <w:marLeft w:val="0"/>
          <w:marRight w:val="0"/>
          <w:marTop w:val="0"/>
          <w:marBottom w:val="0"/>
          <w:divBdr>
            <w:top w:val="none" w:sz="0" w:space="0" w:color="auto"/>
            <w:left w:val="none" w:sz="0" w:space="0" w:color="auto"/>
            <w:bottom w:val="none" w:sz="0" w:space="0" w:color="auto"/>
            <w:right w:val="none" w:sz="0" w:space="0" w:color="auto"/>
          </w:divBdr>
        </w:div>
        <w:div w:id="427426165">
          <w:marLeft w:val="0"/>
          <w:marRight w:val="0"/>
          <w:marTop w:val="0"/>
          <w:marBottom w:val="0"/>
          <w:divBdr>
            <w:top w:val="none" w:sz="0" w:space="0" w:color="auto"/>
            <w:left w:val="none" w:sz="0" w:space="0" w:color="auto"/>
            <w:bottom w:val="none" w:sz="0" w:space="0" w:color="auto"/>
            <w:right w:val="none" w:sz="0" w:space="0" w:color="auto"/>
          </w:divBdr>
        </w:div>
        <w:div w:id="2031838474">
          <w:marLeft w:val="0"/>
          <w:marRight w:val="0"/>
          <w:marTop w:val="0"/>
          <w:marBottom w:val="0"/>
          <w:divBdr>
            <w:top w:val="none" w:sz="0" w:space="0" w:color="auto"/>
            <w:left w:val="none" w:sz="0" w:space="0" w:color="auto"/>
            <w:bottom w:val="none" w:sz="0" w:space="0" w:color="auto"/>
            <w:right w:val="none" w:sz="0" w:space="0" w:color="auto"/>
          </w:divBdr>
        </w:div>
        <w:div w:id="1619486698">
          <w:marLeft w:val="0"/>
          <w:marRight w:val="0"/>
          <w:marTop w:val="0"/>
          <w:marBottom w:val="0"/>
          <w:divBdr>
            <w:top w:val="none" w:sz="0" w:space="0" w:color="auto"/>
            <w:left w:val="none" w:sz="0" w:space="0" w:color="auto"/>
            <w:bottom w:val="none" w:sz="0" w:space="0" w:color="auto"/>
            <w:right w:val="none" w:sz="0" w:space="0" w:color="auto"/>
          </w:divBdr>
        </w:div>
        <w:div w:id="843978904">
          <w:marLeft w:val="0"/>
          <w:marRight w:val="0"/>
          <w:marTop w:val="0"/>
          <w:marBottom w:val="0"/>
          <w:divBdr>
            <w:top w:val="none" w:sz="0" w:space="0" w:color="auto"/>
            <w:left w:val="none" w:sz="0" w:space="0" w:color="auto"/>
            <w:bottom w:val="none" w:sz="0" w:space="0" w:color="auto"/>
            <w:right w:val="none" w:sz="0" w:space="0" w:color="auto"/>
          </w:divBdr>
        </w:div>
        <w:div w:id="2080783199">
          <w:marLeft w:val="0"/>
          <w:marRight w:val="0"/>
          <w:marTop w:val="0"/>
          <w:marBottom w:val="0"/>
          <w:divBdr>
            <w:top w:val="none" w:sz="0" w:space="0" w:color="auto"/>
            <w:left w:val="none" w:sz="0" w:space="0" w:color="auto"/>
            <w:bottom w:val="none" w:sz="0" w:space="0" w:color="auto"/>
            <w:right w:val="none" w:sz="0" w:space="0" w:color="auto"/>
          </w:divBdr>
        </w:div>
        <w:div w:id="970597775">
          <w:marLeft w:val="0"/>
          <w:marRight w:val="0"/>
          <w:marTop w:val="0"/>
          <w:marBottom w:val="0"/>
          <w:divBdr>
            <w:top w:val="none" w:sz="0" w:space="0" w:color="auto"/>
            <w:left w:val="none" w:sz="0" w:space="0" w:color="auto"/>
            <w:bottom w:val="none" w:sz="0" w:space="0" w:color="auto"/>
            <w:right w:val="none" w:sz="0" w:space="0" w:color="auto"/>
          </w:divBdr>
        </w:div>
        <w:div w:id="1788042264">
          <w:marLeft w:val="0"/>
          <w:marRight w:val="0"/>
          <w:marTop w:val="0"/>
          <w:marBottom w:val="0"/>
          <w:divBdr>
            <w:top w:val="none" w:sz="0" w:space="0" w:color="auto"/>
            <w:left w:val="none" w:sz="0" w:space="0" w:color="auto"/>
            <w:bottom w:val="none" w:sz="0" w:space="0" w:color="auto"/>
            <w:right w:val="none" w:sz="0" w:space="0" w:color="auto"/>
          </w:divBdr>
        </w:div>
        <w:div w:id="735708801">
          <w:marLeft w:val="0"/>
          <w:marRight w:val="0"/>
          <w:marTop w:val="0"/>
          <w:marBottom w:val="0"/>
          <w:divBdr>
            <w:top w:val="none" w:sz="0" w:space="0" w:color="auto"/>
            <w:left w:val="none" w:sz="0" w:space="0" w:color="auto"/>
            <w:bottom w:val="none" w:sz="0" w:space="0" w:color="auto"/>
            <w:right w:val="none" w:sz="0" w:space="0" w:color="auto"/>
          </w:divBdr>
        </w:div>
        <w:div w:id="252862098">
          <w:marLeft w:val="0"/>
          <w:marRight w:val="0"/>
          <w:marTop w:val="0"/>
          <w:marBottom w:val="0"/>
          <w:divBdr>
            <w:top w:val="none" w:sz="0" w:space="0" w:color="auto"/>
            <w:left w:val="none" w:sz="0" w:space="0" w:color="auto"/>
            <w:bottom w:val="none" w:sz="0" w:space="0" w:color="auto"/>
            <w:right w:val="none" w:sz="0" w:space="0" w:color="auto"/>
          </w:divBdr>
        </w:div>
        <w:div w:id="440801016">
          <w:marLeft w:val="0"/>
          <w:marRight w:val="0"/>
          <w:marTop w:val="0"/>
          <w:marBottom w:val="0"/>
          <w:divBdr>
            <w:top w:val="none" w:sz="0" w:space="0" w:color="auto"/>
            <w:left w:val="none" w:sz="0" w:space="0" w:color="auto"/>
            <w:bottom w:val="none" w:sz="0" w:space="0" w:color="auto"/>
            <w:right w:val="none" w:sz="0" w:space="0" w:color="auto"/>
          </w:divBdr>
        </w:div>
        <w:div w:id="65518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1232</Words>
  <Characters>7028</Characters>
  <Application>Microsoft Office Word</Application>
  <DocSecurity>0</DocSecurity>
  <Lines>58</Lines>
  <Paragraphs>16</Paragraphs>
  <ScaleCrop>false</ScaleCrop>
  <Company/>
  <LinksUpToDate>false</LinksUpToDate>
  <CharactersWithSpaces>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2020-04-26T12:31:00Z</dcterms:created>
  <dcterms:modified xsi:type="dcterms:W3CDTF">2020-04-26T12:31:00Z</dcterms:modified>
</cp:coreProperties>
</file>