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EFC" w:rsidRPr="00871EFC" w:rsidRDefault="00871EFC" w:rsidP="00871EFC">
      <w:pPr>
        <w:jc w:val="center"/>
        <w:rPr>
          <w:sz w:val="32"/>
          <w:szCs w:val="32"/>
        </w:rPr>
      </w:pPr>
      <w:bookmarkStart w:id="0" w:name="Anchor1"/>
      <w:bookmarkEnd w:id="0"/>
      <w:r w:rsidRPr="00871EFC">
        <w:rPr>
          <w:sz w:val="32"/>
          <w:szCs w:val="32"/>
          <w:rtl/>
        </w:rPr>
        <w:t>الطعن ر</w:t>
      </w:r>
      <w:bookmarkStart w:id="1" w:name="_GoBack"/>
      <w:bookmarkEnd w:id="1"/>
      <w:r w:rsidRPr="00871EFC">
        <w:rPr>
          <w:sz w:val="32"/>
          <w:szCs w:val="32"/>
          <w:rtl/>
        </w:rPr>
        <w:t>قم 1663 و 1733 و 1739/2010</w:t>
      </w:r>
    </w:p>
    <w:p w:rsidR="00871EFC" w:rsidRPr="00871EFC" w:rsidRDefault="00871EFC" w:rsidP="00871EFC">
      <w:pPr>
        <w:rPr>
          <w:sz w:val="32"/>
          <w:szCs w:val="32"/>
        </w:rPr>
      </w:pPr>
      <w:bookmarkStart w:id="2" w:name="Anchor6"/>
      <w:bookmarkEnd w:id="2"/>
      <w:r w:rsidRPr="00871EFC">
        <w:rPr>
          <w:sz w:val="32"/>
          <w:szCs w:val="32"/>
          <w:rtl/>
        </w:rPr>
        <w:t>هيئة المحكمة</w:t>
      </w:r>
      <w:r w:rsidRPr="00871EFC">
        <w:rPr>
          <w:sz w:val="32"/>
          <w:szCs w:val="32"/>
        </w:rPr>
        <w:t xml:space="preserve">: </w:t>
      </w:r>
      <w:r w:rsidRPr="00871EFC">
        <w:rPr>
          <w:sz w:val="32"/>
          <w:szCs w:val="32"/>
          <w:rtl/>
        </w:rPr>
        <w:t>برئاسة السيد المستشـــار أنـــور علي بورســلي وكـــيل المحكـــــمة وعضوية السادة المستشارين زيـاد محــمد غـــازي وأحمـد علي راجـــــح ومجــدي محـمد جـــاد وفيصل عبد الحميد حرحـش</w:t>
      </w:r>
    </w:p>
    <w:bookmarkStart w:id="3" w:name="Anchor27"/>
    <w:bookmarkEnd w:id="3"/>
    <w:p w:rsidR="00871EFC" w:rsidRPr="00871EFC" w:rsidRDefault="00871EFC" w:rsidP="00871EFC">
      <w:pPr>
        <w:rPr>
          <w:sz w:val="32"/>
          <w:szCs w:val="32"/>
        </w:rPr>
      </w:pPr>
      <w:r w:rsidRPr="00871EFC">
        <w:rPr>
          <w:sz w:val="32"/>
          <w:szCs w:val="32"/>
        </w:rPr>
        <w:fldChar w:fldCharType="begin"/>
      </w:r>
      <w:r w:rsidRPr="00871EFC">
        <w:rPr>
          <w:sz w:val="32"/>
          <w:szCs w:val="32"/>
        </w:rPr>
        <w:instrText xml:space="preserve"> HYPERLINK "http://www.law.gov.kw/KWT_CC-Ar/00_2014/00_%D8%A7%D9%84%D8%AF%D8%A7%D8%A6%D8%B1%D8%A9%20%D8%A7%D9%84%D8%AA%D8%AC%D8%A7%D8%B1%D9%8A%D8%A9/KWT-CC-Ar_2014-02-19_01663_Taan.html" \l "TM2014_1663_1" </w:instrText>
      </w:r>
      <w:r w:rsidRPr="00871EFC">
        <w:rPr>
          <w:sz w:val="32"/>
          <w:szCs w:val="32"/>
        </w:rPr>
        <w:fldChar w:fldCharType="separate"/>
      </w:r>
      <w:r w:rsidRPr="00871EFC">
        <w:rPr>
          <w:rStyle w:val="Hyperlink"/>
          <w:sz w:val="32"/>
          <w:szCs w:val="32"/>
        </w:rPr>
        <w:t xml:space="preserve">1- </w:t>
      </w:r>
      <w:r w:rsidRPr="00871EFC">
        <w:rPr>
          <w:rStyle w:val="Hyperlink"/>
          <w:sz w:val="32"/>
          <w:szCs w:val="32"/>
          <w:rtl/>
        </w:rPr>
        <w:t>ان مناط الحكم بالتعويض عن الضرر المادي هو الإخلال بمصلحة مالية للمضرور وان يكون الضرر محققاً بأن يكون وقع بالفعل او يكون وقوعه في المستقبل حتمياً</w:t>
      </w:r>
      <w:r w:rsidRPr="00871EFC">
        <w:rPr>
          <w:rStyle w:val="Hyperlink"/>
          <w:sz w:val="32"/>
          <w:szCs w:val="32"/>
        </w:rPr>
        <w:t>.</w:t>
      </w:r>
      <w:r w:rsidRPr="00871EFC">
        <w:rPr>
          <w:sz w:val="32"/>
          <w:szCs w:val="32"/>
        </w:rPr>
        <w:fldChar w:fldCharType="end"/>
      </w:r>
      <w:r w:rsidRPr="00871EFC">
        <w:rPr>
          <w:sz w:val="32"/>
          <w:szCs w:val="32"/>
        </w:rPr>
        <w:br/>
      </w:r>
      <w:r w:rsidRPr="00871EFC">
        <w:rPr>
          <w:sz w:val="32"/>
          <w:szCs w:val="32"/>
        </w:rPr>
        <w:br/>
      </w:r>
      <w:r w:rsidRPr="00871EFC">
        <w:rPr>
          <w:sz w:val="32"/>
          <w:szCs w:val="32"/>
          <w:u w:val="single"/>
          <w:rtl/>
        </w:rPr>
        <w:t>ملاحظة</w:t>
      </w:r>
      <w:r w:rsidRPr="00871EFC">
        <w:rPr>
          <w:sz w:val="32"/>
          <w:szCs w:val="32"/>
          <w:u w:val="single"/>
        </w:rPr>
        <w:t xml:space="preserve"> :</w:t>
      </w:r>
      <w:r w:rsidRPr="00871EFC">
        <w:rPr>
          <w:sz w:val="32"/>
          <w:szCs w:val="32"/>
        </w:rPr>
        <w:br/>
      </w:r>
      <w:r w:rsidRPr="00871EF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71EFC" w:rsidRPr="00871EFC" w:rsidRDefault="00871EFC" w:rsidP="00871EFC">
      <w:pPr>
        <w:rPr>
          <w:sz w:val="32"/>
          <w:szCs w:val="32"/>
        </w:rPr>
      </w:pPr>
      <w:bookmarkStart w:id="4" w:name="Anchor42"/>
      <w:bookmarkEnd w:id="4"/>
      <w:r w:rsidRPr="00871EFC">
        <w:rPr>
          <w:b/>
          <w:bCs/>
          <w:sz w:val="32"/>
          <w:szCs w:val="32"/>
          <w:rtl/>
        </w:rPr>
        <w:t>المحكمـــــة</w:t>
      </w:r>
    </w:p>
    <w:p w:rsidR="00871EFC" w:rsidRPr="00871EFC" w:rsidRDefault="00871EFC" w:rsidP="00871EFC">
      <w:pPr>
        <w:rPr>
          <w:sz w:val="32"/>
          <w:szCs w:val="32"/>
        </w:rPr>
      </w:pPr>
      <w:bookmarkStart w:id="5" w:name="Anchor43"/>
      <w:bookmarkEnd w:id="5"/>
      <w:r w:rsidRPr="00871EFC">
        <w:rPr>
          <w:sz w:val="32"/>
          <w:szCs w:val="32"/>
          <w:rtl/>
        </w:rPr>
        <w:t>بعد سماع المرافعة والاطلاع على الاوراق والمداولة</w:t>
      </w:r>
      <w:r w:rsidRPr="00871EFC">
        <w:rPr>
          <w:sz w:val="32"/>
          <w:szCs w:val="32"/>
        </w:rPr>
        <w:t>.</w:t>
      </w:r>
    </w:p>
    <w:p w:rsidR="00871EFC" w:rsidRPr="00871EFC" w:rsidRDefault="00871EFC" w:rsidP="00871EFC">
      <w:pPr>
        <w:rPr>
          <w:sz w:val="32"/>
          <w:szCs w:val="32"/>
        </w:rPr>
      </w:pPr>
      <w:bookmarkStart w:id="6" w:name="Anchor49"/>
      <w:bookmarkEnd w:id="6"/>
      <w:r w:rsidRPr="00871EFC">
        <w:rPr>
          <w:sz w:val="32"/>
          <w:szCs w:val="32"/>
          <w:rtl/>
        </w:rPr>
        <w:t xml:space="preserve">وحيث إن الوقائع سبق وأن أحاط بها الحكم الصادر من هذه المحكمة بجلسة 2012/4/24 فتحيل إليه المحكمة في بيانها إلا أن وجيز هذه الوقائع يخلص في أن المستأنف في الاستئناف رقم 3241 لسنة 2010 تجاري- أقام الدعوى رقم 6972 لسنة 2008 تجارى كلي، على المستأنف ضدهم في الاستئناف المذكور، بطلب الحكم بندب خبير لتقدير سعر الأسهم المملوكة له وقت توقيع الحجز عليها وأثنائه لتحديد الفارق بينه وبين سعرها وقت رفع الحجز وتقدير كافة الأضرار التي أصابته من جراء هذا الحجز، تمهيداً لإلزامهم بالتضامن بما يسفر عنه تقرير الخبرة، وقال شرحا لدعواه أنه يمتلك عدداً من الأسهم وقد هم بيعها لتلافي ما تتعرض له من هبوط بسبب الأزمة المالية إلا أنه فوجئ بأن المستانف ضده الثاني </w:t>
      </w:r>
      <w:r w:rsidRPr="00871EFC">
        <w:rPr>
          <w:sz w:val="32"/>
          <w:szCs w:val="32"/>
        </w:rPr>
        <w:t xml:space="preserve">– </w:t>
      </w:r>
      <w:r w:rsidRPr="00871EFC">
        <w:rPr>
          <w:sz w:val="32"/>
          <w:szCs w:val="32"/>
          <w:rtl/>
        </w:rPr>
        <w:t xml:space="preserve">الشركة الكويتية للمقاصة </w:t>
      </w:r>
      <w:r w:rsidRPr="00871EFC">
        <w:rPr>
          <w:sz w:val="32"/>
          <w:szCs w:val="32"/>
        </w:rPr>
        <w:t xml:space="preserve">– </w:t>
      </w:r>
      <w:r w:rsidRPr="00871EFC">
        <w:rPr>
          <w:sz w:val="32"/>
          <w:szCs w:val="32"/>
          <w:rtl/>
        </w:rPr>
        <w:t xml:space="preserve">قامت بتوقيع الحجز على تلك الأسهم بناء على طلب من المستأنف ضده الثالث بصفته </w:t>
      </w:r>
      <w:r w:rsidRPr="00871EFC">
        <w:rPr>
          <w:sz w:val="32"/>
          <w:szCs w:val="32"/>
        </w:rPr>
        <w:t xml:space="preserve">– </w:t>
      </w:r>
      <w:r w:rsidRPr="00871EFC">
        <w:rPr>
          <w:sz w:val="32"/>
          <w:szCs w:val="32"/>
          <w:rtl/>
        </w:rPr>
        <w:t xml:space="preserve">مدير إدارة التنفيذ </w:t>
      </w:r>
      <w:r w:rsidRPr="00871EFC">
        <w:rPr>
          <w:sz w:val="32"/>
          <w:szCs w:val="32"/>
        </w:rPr>
        <w:t xml:space="preserve">– </w:t>
      </w:r>
      <w:r w:rsidRPr="00871EFC">
        <w:rPr>
          <w:sz w:val="32"/>
          <w:szCs w:val="32"/>
          <w:rtl/>
        </w:rPr>
        <w:t>تنفيذا لحكم صادر لصالح المستأنف ضده الأول - بيت التمويل الكويتي- في الدعوى رقم 483 لسنة 2008 تجارى مدني جزئي ضد آخر تشابه إسمه معه يدعي</w:t>
      </w:r>
      <w:r w:rsidRPr="00871EFC">
        <w:rPr>
          <w:sz w:val="32"/>
          <w:szCs w:val="32"/>
        </w:rPr>
        <w:t xml:space="preserve">/ ......... </w:t>
      </w:r>
      <w:r w:rsidRPr="00871EFC">
        <w:rPr>
          <w:sz w:val="32"/>
          <w:szCs w:val="32"/>
          <w:rtl/>
        </w:rPr>
        <w:t xml:space="preserve">، مدير شركة </w:t>
      </w:r>
      <w:r w:rsidRPr="00871EFC">
        <w:rPr>
          <w:sz w:val="32"/>
          <w:szCs w:val="32"/>
        </w:rPr>
        <w:t xml:space="preserve">........... </w:t>
      </w:r>
      <w:r w:rsidRPr="00871EFC">
        <w:rPr>
          <w:sz w:val="32"/>
          <w:szCs w:val="32"/>
          <w:rtl/>
        </w:rPr>
        <w:t xml:space="preserve">للتجارة العامة والمقاولات ، وعلى الرغم أنه لا يملك شركة تحمل هذا الاسم ، إلا أنه تم توقيع الحجز على أسهمه، وإذ ترتب على هذا الحجز إصابته بأضرار تمثلت في عجزه عن التصرف في تلك الأسهم وما تبعه ذلك من إنخفاض قيمتها السوقية، ومن ثم فقد أقام الدعوى، ندبت المحكمة خبيراً، وبعد أن أودع </w:t>
      </w:r>
      <w:r w:rsidRPr="00871EFC">
        <w:rPr>
          <w:sz w:val="32"/>
          <w:szCs w:val="32"/>
          <w:rtl/>
        </w:rPr>
        <w:lastRenderedPageBreak/>
        <w:t xml:space="preserve">تقريره ، عدل المستأنف طلباته إلي طلب الحكم بالزام المستأنف ضدهم على سبيل التضامن والتضامم بأن يؤدوا له مبلغ </w:t>
      </w:r>
      <w:r w:rsidRPr="00871EFC">
        <w:rPr>
          <w:sz w:val="32"/>
          <w:szCs w:val="32"/>
        </w:rPr>
        <w:t xml:space="preserve">232065.43 </w:t>
      </w:r>
      <w:r w:rsidRPr="00871EFC">
        <w:rPr>
          <w:sz w:val="32"/>
          <w:szCs w:val="32"/>
          <w:rtl/>
        </w:rPr>
        <w:t>د.ك ، تعويضاً عما لحقه من أضرار مادية، بالاضافة إلي مبلغ 5001 د.ك تعويضاً عما أصابه من ضرر أدبي، وبتاريخ 2010/6/22 قضت المحكمة بالزام المستأنف ضدهما الأول والثانية بالتضامن فيما بينهما بأن يؤديا للمطعون ضده الأول ستة آلاف دينار، إستأنف المستأنف ضده الأول هذا الحكم بالاستئناف رقم 3050 لسنة 2010 تجارى، كما إستأنفه المستأنف ضده الثاني بالاستئناف رقم 3071 لسنة 2010 تجارى، وإستأنفه أيضا المستأنف بالاستئناف رقم 3241 لسنة 2010 تجارى، ضمت المحكمة الاستئنافين الأخيرين للأول ، وبتاريخ 2010/10/28 حكمت في موضوع الاستئنافين الأول والثاني برفضهما، وفى موضوع الاستئناف الثالث بزيادة التعويض المقضي به ليصبح خمسة وسبعين ألف ديناراً، طعن بيت التمويل الكويتي على هذا الحكم بطريق التمييز بالطعن رقم 1663 لسنة 2010 تجارى، كما طعن عليه</w:t>
      </w:r>
      <w:r w:rsidRPr="00871EFC">
        <w:rPr>
          <w:sz w:val="32"/>
          <w:szCs w:val="32"/>
        </w:rPr>
        <w:t xml:space="preserve">/....... </w:t>
      </w:r>
      <w:r w:rsidRPr="00871EFC">
        <w:rPr>
          <w:sz w:val="32"/>
          <w:szCs w:val="32"/>
          <w:rtl/>
        </w:rPr>
        <w:t xml:space="preserve">، بذات الطريق بالطعن رقم 1733 لسنة 2010 تجارى، وطعنت عليه كذلك الشركة الكويتية للمقاصة بالطعن رقم 1739 لسنة 2010 تجارى، ضمت محكمة التمييز الطعنين الأخرين للطعن الأول ، وقضت بتاريخ </w:t>
      </w:r>
      <w:r w:rsidRPr="00871EFC">
        <w:rPr>
          <w:sz w:val="32"/>
          <w:szCs w:val="32"/>
        </w:rPr>
        <w:t xml:space="preserve">2012/4/24 </w:t>
      </w:r>
      <w:r w:rsidRPr="00871EFC">
        <w:rPr>
          <w:sz w:val="32"/>
          <w:szCs w:val="32"/>
          <w:rtl/>
        </w:rPr>
        <w:t xml:space="preserve">أولا </w:t>
      </w:r>
      <w:r w:rsidRPr="00871EFC">
        <w:rPr>
          <w:sz w:val="32"/>
          <w:szCs w:val="32"/>
        </w:rPr>
        <w:t xml:space="preserve">– </w:t>
      </w:r>
      <w:r w:rsidRPr="00871EFC">
        <w:rPr>
          <w:sz w:val="32"/>
          <w:szCs w:val="32"/>
          <w:rtl/>
        </w:rPr>
        <w:t xml:space="preserve">بتمييز الحكم المطعون فيه تمييزاً جزئياً تأسيساً على أن الحكم المطعون فيه زاد التعويض المقضي به عن الضررين المادي والأدبي، دون أن يبين الاعتبارات التي إستند إليها في هذه الزيادة ، ودون أن يناقش ما أورده الخبير بتقريره بشأن قيمة الأضرار المادية المدعي بها، ثانياً- في موضوع الاستئناف رقم 3050 لسنة 2010 بإلغاء الحكم المستأنف فيما قضي به من إلزام المستأنف- بيت التمويل الكويتي </w:t>
      </w:r>
      <w:r w:rsidRPr="00871EFC">
        <w:rPr>
          <w:sz w:val="32"/>
          <w:szCs w:val="32"/>
        </w:rPr>
        <w:t xml:space="preserve">– </w:t>
      </w:r>
      <w:r w:rsidRPr="00871EFC">
        <w:rPr>
          <w:sz w:val="32"/>
          <w:szCs w:val="32"/>
          <w:rtl/>
        </w:rPr>
        <w:t>ورفض الدعوى بالنسبة له ، ثالثاً- وقبل الفصل في موضوع الاستئنافين رقمي 3071، 3241 لسنة 2010 تجارى، بإعادة الدعوى إلي إدارة الخبراء بوزارة العدل لندب لجنة من ثلاثة خبراء لمباشرة المأمورية المبينة بمنطوق ذلك الحكم ، وقد أدت المهمة الموكلة إليها وأودعت تقريرها المؤرخ 2013/5/21 ، والذي إنتهت فيه إلي نتيجة حاصلها أن ما لحق أحمد منصور، من خسارة وما فاته من كسب من جراء قيام الشركة الكويتية للمقاصة بالحجز على الأسهم المملوكة له مبلغ 232465.430 د.ك</w:t>
      </w:r>
      <w:r w:rsidRPr="00871EFC">
        <w:rPr>
          <w:sz w:val="32"/>
          <w:szCs w:val="32"/>
        </w:rPr>
        <w:t>.</w:t>
      </w:r>
    </w:p>
    <w:p w:rsidR="00871EFC" w:rsidRPr="00871EFC" w:rsidRDefault="00871EFC" w:rsidP="00871EFC">
      <w:pPr>
        <w:rPr>
          <w:sz w:val="32"/>
          <w:szCs w:val="32"/>
        </w:rPr>
      </w:pPr>
      <w:bookmarkStart w:id="7" w:name="Anchor336"/>
      <w:bookmarkEnd w:id="7"/>
      <w:r w:rsidRPr="00871EFC">
        <w:rPr>
          <w:sz w:val="32"/>
          <w:szCs w:val="32"/>
          <w:rtl/>
        </w:rPr>
        <w:t xml:space="preserve">وحيث إن الاستئنافين رقمي 3017، 3241 لسنة 2010 تجارى، نظرا أمام المحكمة بعد إيداع لجنة الخبراء تقريرها، وبجلسة 2013/12/25 قدم وكيل المستأنف في الاستئناف الثاني- أحمد محمد المنصور </w:t>
      </w:r>
      <w:r w:rsidRPr="00871EFC">
        <w:rPr>
          <w:sz w:val="32"/>
          <w:szCs w:val="32"/>
        </w:rPr>
        <w:t xml:space="preserve">– </w:t>
      </w:r>
      <w:r w:rsidRPr="00871EFC">
        <w:rPr>
          <w:sz w:val="32"/>
          <w:szCs w:val="32"/>
          <w:rtl/>
        </w:rPr>
        <w:t xml:space="preserve">مذكرة دفاع طلب في ختامها الحكم في الاستئناف رقم 3241 لسنة 2010 تجارى، بإلغاء الحكم المستأنف، والقضاء بالزام المستأنف ضدهم بأن يؤدوا له بالتضامن مبلغ 232065.43 د.ك، تعويضا عن الأضرار المادية التي أصابته ، بالإضافة إلي مبلغ 5001 د.ك تعويضا عن الضرر الأدبي، ورفض الاستئناف الآخر ، كما قدم وكيل المستأنفة في الاستئناف 3071 لسنة 2010- الشركة الكويتية للمقاصة </w:t>
      </w:r>
      <w:r w:rsidRPr="00871EFC">
        <w:rPr>
          <w:sz w:val="32"/>
          <w:szCs w:val="32"/>
        </w:rPr>
        <w:t xml:space="preserve">– </w:t>
      </w:r>
      <w:r w:rsidRPr="00871EFC">
        <w:rPr>
          <w:sz w:val="32"/>
          <w:szCs w:val="32"/>
          <w:rtl/>
        </w:rPr>
        <w:t>مذكرة دفاع، طلب في ختامها الحكم أصليا</w:t>
      </w:r>
      <w:r w:rsidRPr="00871EFC">
        <w:rPr>
          <w:sz w:val="32"/>
          <w:szCs w:val="32"/>
        </w:rPr>
        <w:t xml:space="preserve">- </w:t>
      </w:r>
      <w:r w:rsidRPr="00871EFC">
        <w:rPr>
          <w:sz w:val="32"/>
          <w:szCs w:val="32"/>
          <w:rtl/>
        </w:rPr>
        <w:t xml:space="preserve">بإلغاء الحكم المطعون فيه ، وإلغاء الحكم المستأنف ورفض الدعوى، وإحتياطيا </w:t>
      </w:r>
      <w:r w:rsidRPr="00871EFC">
        <w:rPr>
          <w:sz w:val="32"/>
          <w:szCs w:val="32"/>
        </w:rPr>
        <w:t xml:space="preserve">– </w:t>
      </w:r>
      <w:r w:rsidRPr="00871EFC">
        <w:rPr>
          <w:sz w:val="32"/>
          <w:szCs w:val="32"/>
          <w:rtl/>
        </w:rPr>
        <w:t>إعادة المأمورية إلي لجنة الخبراء لاعادة بحثها في ضوء الاعتراضات المبداه بتلك المذكرة وما ورد بصحيفة الاستئناف ، كما قدم الأخير مذكرة بجلسة 2014/1/15 صمم فيها على الطلبات السابقة، وقد حجزت المحكمة الاستئنافين للحكم بجلسة اليوم</w:t>
      </w:r>
      <w:r w:rsidRPr="00871EFC">
        <w:rPr>
          <w:sz w:val="32"/>
          <w:szCs w:val="32"/>
        </w:rPr>
        <w:t>.</w:t>
      </w:r>
    </w:p>
    <w:p w:rsidR="00871EFC" w:rsidRPr="00871EFC" w:rsidRDefault="00871EFC" w:rsidP="00871EFC">
      <w:pPr>
        <w:rPr>
          <w:sz w:val="32"/>
          <w:szCs w:val="32"/>
        </w:rPr>
      </w:pPr>
      <w:bookmarkStart w:id="8" w:name="Anchor416"/>
      <w:bookmarkEnd w:id="8"/>
      <w:r w:rsidRPr="00871EFC">
        <w:rPr>
          <w:sz w:val="32"/>
          <w:szCs w:val="32"/>
          <w:rtl/>
        </w:rPr>
        <w:t>وحيث إنه عن موضوع الاستئناف رقم 3071 لسنة 2010 تجارى/6 المقام من الشركة الكويتية للمقاصة والذي تنعي به على الحكم المستأنف بالفساد في الاستدلال والقصور في التسبيب، لثبوت الخطأ في حق المستأنف ضده الثاني وحده</w:t>
      </w:r>
      <w:r w:rsidRPr="00871EFC">
        <w:rPr>
          <w:sz w:val="32"/>
          <w:szCs w:val="32"/>
        </w:rPr>
        <w:t xml:space="preserve">- </w:t>
      </w:r>
      <w:r w:rsidRPr="00871EFC">
        <w:rPr>
          <w:sz w:val="32"/>
          <w:szCs w:val="32"/>
          <w:rtl/>
        </w:rPr>
        <w:t>بيت التمويل الكويتي- لأن الحكم رقم 843 لسنة 2008 تجارى مدني، الصادر لصالحه ، رفعه بالخطأ على أحمد محمد المنصور صاحب شركة أحمد محمد المنصور، وأنه كان يتعين عليه أن يتأكد من صحة البيانات الواردة بمحضر الحجز قبل توقيع الحجز وقبل مخاطبة الجهة الحاجزة ، وأنها قامت الحجز على أسهم المستأنف ضده الأول بعد إعلانها بمحضر الحجز التنفيذي بما للمدين لدي الغير ، وأنها حاولت تحرى الحقيقة عن المعني بالحجز مع إدارة التنفيذ والدائن الحاجز إلا أنها لم تتلق منهما إجابة عن المحجوز عليه مما إضطرها لرفع الحجز، فهو في غير محله ذلك أن المحكمة إنتهت في الرد على سبب الطعن رقم 1739 لسنة 2010 تجارى/1 المقام من الشركة المستأنفة في الاستئناف الماثل أن الحكم المطعون قد إنتهي صحيحا إلي أن الخطأ توافر في حق المستأنفة لقيامها بتوقيع الحجز على الأسهم المملوكة للمستأنف ضده الأول دون تحرى الدقة والعناية ودون مخاطبة المحجوز عليه فضلا عن أن الاجراءات التي قامت بها تمت على سبيل الخطأ لكون مالك الأسهم لا يملك شركة، وأن الخطابات المرسلة منها لا تنف عنها الخطأ، ومن ثم يضحي ذلك الاستئناف على غير سند من الواقع أو القانون، متعيناً القضاء برفضه</w:t>
      </w:r>
      <w:r w:rsidRPr="00871EFC">
        <w:rPr>
          <w:sz w:val="32"/>
          <w:szCs w:val="32"/>
        </w:rPr>
        <w:t>.</w:t>
      </w:r>
    </w:p>
    <w:p w:rsidR="00871EFC" w:rsidRPr="00871EFC" w:rsidRDefault="00871EFC" w:rsidP="00871EFC">
      <w:pPr>
        <w:rPr>
          <w:sz w:val="32"/>
          <w:szCs w:val="32"/>
        </w:rPr>
      </w:pPr>
      <w:bookmarkStart w:id="9" w:name="Anchor526"/>
      <w:bookmarkEnd w:id="9"/>
      <w:r w:rsidRPr="00871EFC">
        <w:rPr>
          <w:sz w:val="32"/>
          <w:szCs w:val="32"/>
          <w:rtl/>
        </w:rPr>
        <w:t xml:space="preserve">وحيث إنه عن الاستئناف رقم 3241 لسنة 2010 تجارى/6 </w:t>
      </w:r>
      <w:r w:rsidRPr="00871EFC">
        <w:rPr>
          <w:sz w:val="32"/>
          <w:szCs w:val="32"/>
        </w:rPr>
        <w:t xml:space="preserve">– </w:t>
      </w:r>
      <w:r w:rsidRPr="00871EFC">
        <w:rPr>
          <w:sz w:val="32"/>
          <w:szCs w:val="32"/>
          <w:rtl/>
        </w:rPr>
        <w:t xml:space="preserve">المقام من </w:t>
      </w:r>
      <w:r w:rsidRPr="00871EFC">
        <w:rPr>
          <w:sz w:val="32"/>
          <w:szCs w:val="32"/>
        </w:rPr>
        <w:t>........</w:t>
      </w:r>
      <w:r w:rsidRPr="00871EFC">
        <w:rPr>
          <w:sz w:val="32"/>
          <w:szCs w:val="32"/>
          <w:rtl/>
        </w:rPr>
        <w:t xml:space="preserve">، والذي ينعي فيه على الحكم المستأنف الفساد في الاستدلال والخطأ في تطبيق القانون، إذ خالف تقدير الخبير للتعويض على قالة أنه ترجح من أسهم أخرى مفترضاً بذلك واقعة ليس لها أصل ثابت بالأوراق، وأن الحجز تم على بعض الأسهم حالة أنه كان شاملا لكافة الأسهم التي يملكها، وإلي أن التعويض يجب أن يكون جابراً لكافة الأضرار التي لحقت به، والتي قدرها الخبير بمبلغ </w:t>
      </w:r>
      <w:r w:rsidRPr="00871EFC">
        <w:rPr>
          <w:sz w:val="32"/>
          <w:szCs w:val="32"/>
        </w:rPr>
        <w:t xml:space="preserve">232065.430 </w:t>
      </w:r>
      <w:r w:rsidRPr="00871EFC">
        <w:rPr>
          <w:sz w:val="32"/>
          <w:szCs w:val="32"/>
          <w:rtl/>
        </w:rPr>
        <w:t xml:space="preserve">د.ك ،فهو في محله ذلك أن المقرر </w:t>
      </w:r>
      <w:bookmarkStart w:id="10" w:name="TM2014_1663_1"/>
      <w:bookmarkEnd w:id="10"/>
      <w:r w:rsidRPr="00871EFC">
        <w:rPr>
          <w:b/>
          <w:bCs/>
          <w:sz w:val="32"/>
          <w:szCs w:val="32"/>
          <w:rtl/>
        </w:rPr>
        <w:t xml:space="preserve">أن مناط الحكم بالتعويض عن الضرر المادي هو الاخلال بمصلحة مالية للمضرور، وأن يكون الضرر محققا بأن يكون وقع بالفعل أو يكون وقوعه في المستقبل حتمياً، </w:t>
      </w:r>
      <w:r w:rsidRPr="00871EFC">
        <w:rPr>
          <w:sz w:val="32"/>
          <w:szCs w:val="32"/>
          <w:rtl/>
        </w:rPr>
        <w:t xml:space="preserve">لما كان ذلك وكان الحجز الذي أوقعته المستأنف ضدها الثانية على الأسهم المملوكة للمستأنف قد ألحق به ضرراً مادياً تمثل في منعه من التصرف فيها طيلة مدة الحجز، وفوات فرصة بيعها في الوقت الذي يراه محققاً لربحيه أفضل ، وكانت المحكمة تطمئن إلي تقدير لجنة الخبراء المؤرخ 2013/5/21 ، فيما إنتهي إليه من إحتساب الأضرار التي لحقت بالمستأنف بالفرق بين قيمة الأسهم عند الحجز بتاريخ 2008/9/17، وقيمتها عند رفعه بتاريخ </w:t>
      </w:r>
      <w:r w:rsidRPr="00871EFC">
        <w:rPr>
          <w:sz w:val="32"/>
          <w:szCs w:val="32"/>
        </w:rPr>
        <w:t xml:space="preserve">2008/12/17 </w:t>
      </w:r>
      <w:r w:rsidRPr="00871EFC">
        <w:rPr>
          <w:sz w:val="32"/>
          <w:szCs w:val="32"/>
          <w:rtl/>
        </w:rPr>
        <w:t xml:space="preserve">بمبلغ 232465.43 د.ك، وتقضي تبعاً لذلك بتعديل الحكم المستأنف إلي إلزام المستأنف ضدها الثانية بأن تؤدي إلي المستأنف مبلغ 232065.430 د.ك </w:t>
      </w:r>
      <w:r w:rsidRPr="00871EFC">
        <w:rPr>
          <w:sz w:val="32"/>
          <w:szCs w:val="32"/>
        </w:rPr>
        <w:t xml:space="preserve">– </w:t>
      </w:r>
      <w:r w:rsidRPr="00871EFC">
        <w:rPr>
          <w:sz w:val="32"/>
          <w:szCs w:val="32"/>
          <w:rtl/>
        </w:rPr>
        <w:t>إلتزاماً بطلباته الختامية</w:t>
      </w:r>
      <w:r w:rsidRPr="00871EFC">
        <w:rPr>
          <w:sz w:val="32"/>
          <w:szCs w:val="32"/>
        </w:rPr>
        <w:t xml:space="preserve">- </w:t>
      </w:r>
      <w:r w:rsidRPr="00871EFC">
        <w:rPr>
          <w:sz w:val="32"/>
          <w:szCs w:val="32"/>
          <w:rtl/>
        </w:rPr>
        <w:t>كتعويض جابر لما لحقه من خسارة وما فاته من كسب جراء حجز الأسهم المملوكة له دون وجه حق</w:t>
      </w:r>
      <w:r w:rsidRPr="00871EFC">
        <w:rPr>
          <w:sz w:val="32"/>
          <w:szCs w:val="32"/>
        </w:rPr>
        <w:t>.</w:t>
      </w:r>
    </w:p>
    <w:p w:rsidR="00871EFC" w:rsidRPr="00871EFC" w:rsidRDefault="00871EFC" w:rsidP="00871EFC">
      <w:pPr>
        <w:rPr>
          <w:sz w:val="32"/>
          <w:szCs w:val="32"/>
        </w:rPr>
      </w:pPr>
      <w:bookmarkStart w:id="11" w:name="Anchor644"/>
      <w:bookmarkEnd w:id="11"/>
      <w:r w:rsidRPr="00871EFC">
        <w:rPr>
          <w:sz w:val="32"/>
          <w:szCs w:val="32"/>
          <w:rtl/>
        </w:rPr>
        <w:t xml:space="preserve">وحيث إنه عن تقرير التعويض عن الضرر الأدبي، فلما كان الخطأ الذي إرتكبه المستأنف ضده الثاني، والضرر الذي لحق به من جراء الحجز على الأسهم المملوكة له قد أصابه بضرر أدبي تمثل فيما إستشعره من أذي نفسي نتيجة المساس بأمواله وترى المحكمة أن في مبلغ ألف دينار ما يعد جابرا للأضرار الأدبية ا لتي لحقت به و تقضي بتأييد الحكم المستأنف فيما إنتهي إليه من تقدير التعويض عن الضرر الأدبي، ليكون جملة ما تقضي به المحكمة من تعويض عن الضررين المادي والأدبي مبلغ </w:t>
      </w:r>
      <w:r w:rsidRPr="00871EFC">
        <w:rPr>
          <w:sz w:val="32"/>
          <w:szCs w:val="32"/>
        </w:rPr>
        <w:t xml:space="preserve">233065.430 </w:t>
      </w:r>
      <w:r w:rsidRPr="00871EFC">
        <w:rPr>
          <w:sz w:val="32"/>
          <w:szCs w:val="32"/>
          <w:rtl/>
        </w:rPr>
        <w:t>د.ك</w:t>
      </w:r>
      <w:r w:rsidRPr="00871EFC">
        <w:rPr>
          <w:sz w:val="32"/>
          <w:szCs w:val="32"/>
        </w:rPr>
        <w:t>.</w:t>
      </w:r>
    </w:p>
    <w:p w:rsidR="00871EFC" w:rsidRPr="00871EFC" w:rsidRDefault="00871EFC" w:rsidP="00871EFC">
      <w:pPr>
        <w:rPr>
          <w:sz w:val="32"/>
          <w:szCs w:val="32"/>
        </w:rPr>
      </w:pPr>
      <w:bookmarkStart w:id="12" w:name="Anchor687"/>
      <w:bookmarkEnd w:id="12"/>
      <w:r w:rsidRPr="00871EFC">
        <w:rPr>
          <w:sz w:val="32"/>
          <w:szCs w:val="32"/>
          <w:rtl/>
        </w:rPr>
        <w:t>وحيث إنه عن أتعاب المحاماة الفعلية فإن المحكمة تقدرها عملا بالمادة 119 مكرر من قانون المرافعات وفقاً لظروف الدعوى والجهد المبذول ودرجتي التقاضي بمبلغ خمسمائة دينار</w:t>
      </w:r>
      <w:r w:rsidRPr="00871EFC">
        <w:rPr>
          <w:sz w:val="32"/>
          <w:szCs w:val="32"/>
        </w:rPr>
        <w:t>.</w:t>
      </w:r>
    </w:p>
    <w:p w:rsidR="00871EFC" w:rsidRPr="00871EFC" w:rsidRDefault="00871EFC" w:rsidP="00871EFC">
      <w:pPr>
        <w:rPr>
          <w:sz w:val="32"/>
          <w:szCs w:val="32"/>
        </w:rPr>
      </w:pPr>
      <w:bookmarkStart w:id="13" w:name="Anchor705"/>
      <w:bookmarkEnd w:id="13"/>
      <w:r w:rsidRPr="00871EFC">
        <w:rPr>
          <w:sz w:val="32"/>
          <w:szCs w:val="32"/>
          <w:rtl/>
        </w:rPr>
        <w:t>لـــــذلك</w:t>
      </w:r>
    </w:p>
    <w:p w:rsidR="00871EFC" w:rsidRPr="00871EFC" w:rsidRDefault="00871EFC" w:rsidP="00871EFC">
      <w:pPr>
        <w:rPr>
          <w:sz w:val="32"/>
          <w:szCs w:val="32"/>
        </w:rPr>
      </w:pPr>
      <w:bookmarkStart w:id="14" w:name="Anchor706"/>
      <w:bookmarkEnd w:id="14"/>
      <w:r w:rsidRPr="00871EFC">
        <w:rPr>
          <w:sz w:val="32"/>
          <w:szCs w:val="32"/>
          <w:rtl/>
        </w:rPr>
        <w:t>حكمت المحكمة</w:t>
      </w:r>
      <w:r w:rsidRPr="00871EFC">
        <w:rPr>
          <w:sz w:val="32"/>
          <w:szCs w:val="32"/>
        </w:rPr>
        <w:t>:</w:t>
      </w:r>
    </w:p>
    <w:p w:rsidR="00871EFC" w:rsidRPr="00871EFC" w:rsidRDefault="00871EFC" w:rsidP="00871EFC">
      <w:pPr>
        <w:rPr>
          <w:sz w:val="32"/>
          <w:szCs w:val="32"/>
        </w:rPr>
      </w:pPr>
      <w:bookmarkStart w:id="15" w:name="Anchor708"/>
      <w:bookmarkEnd w:id="15"/>
      <w:r w:rsidRPr="00871EFC">
        <w:rPr>
          <w:sz w:val="32"/>
          <w:szCs w:val="32"/>
          <w:rtl/>
        </w:rPr>
        <w:t>أولا</w:t>
      </w:r>
      <w:r w:rsidRPr="00871EFC">
        <w:rPr>
          <w:sz w:val="32"/>
          <w:szCs w:val="32"/>
        </w:rPr>
        <w:t xml:space="preserve">: </w:t>
      </w:r>
      <w:r w:rsidRPr="00871EFC">
        <w:rPr>
          <w:sz w:val="32"/>
          <w:szCs w:val="32"/>
          <w:rtl/>
        </w:rPr>
        <w:t>في موضوع الاستئناف رقم 3071 لسنة 2010 تجارى، برفضه وألزمت المستأنف المصروفات ، وعشرة دنانير مقابل أتعاب المحاماة</w:t>
      </w:r>
      <w:r w:rsidRPr="00871EFC">
        <w:rPr>
          <w:sz w:val="32"/>
          <w:szCs w:val="32"/>
        </w:rPr>
        <w:t>.</w:t>
      </w:r>
    </w:p>
    <w:p w:rsidR="00871EFC" w:rsidRPr="00871EFC" w:rsidRDefault="00871EFC" w:rsidP="00871EFC">
      <w:pPr>
        <w:rPr>
          <w:sz w:val="32"/>
          <w:szCs w:val="32"/>
        </w:rPr>
      </w:pPr>
      <w:bookmarkStart w:id="16" w:name="Anchor720"/>
      <w:bookmarkEnd w:id="16"/>
      <w:r w:rsidRPr="00871EFC">
        <w:rPr>
          <w:sz w:val="32"/>
          <w:szCs w:val="32"/>
          <w:rtl/>
        </w:rPr>
        <w:t>ثانيا</w:t>
      </w:r>
      <w:r w:rsidRPr="00871EFC">
        <w:rPr>
          <w:sz w:val="32"/>
          <w:szCs w:val="32"/>
        </w:rPr>
        <w:t xml:space="preserve">- </w:t>
      </w:r>
      <w:r w:rsidRPr="00871EFC">
        <w:rPr>
          <w:sz w:val="32"/>
          <w:szCs w:val="32"/>
          <w:rtl/>
        </w:rPr>
        <w:t>في موضوع الاستئناف رقم 3241 لسنة 2010 تجارى، بتعديل الحكم المستأنف إلي إلزام المستأنف ضدها الثانية</w:t>
      </w:r>
      <w:r w:rsidRPr="00871EFC">
        <w:rPr>
          <w:sz w:val="32"/>
          <w:szCs w:val="32"/>
        </w:rPr>
        <w:t xml:space="preserve">- </w:t>
      </w:r>
      <w:r w:rsidRPr="00871EFC">
        <w:rPr>
          <w:sz w:val="32"/>
          <w:szCs w:val="32"/>
          <w:rtl/>
        </w:rPr>
        <w:t xml:space="preserve">الشركة الكويتية للمقاصة </w:t>
      </w:r>
      <w:r w:rsidRPr="00871EFC">
        <w:rPr>
          <w:sz w:val="32"/>
          <w:szCs w:val="32"/>
        </w:rPr>
        <w:t xml:space="preserve">– </w:t>
      </w:r>
      <w:r w:rsidRPr="00871EFC">
        <w:rPr>
          <w:sz w:val="32"/>
          <w:szCs w:val="32"/>
          <w:rtl/>
        </w:rPr>
        <w:t xml:space="preserve">بأن تؤدي إلي المستأنف مبلغ 232065.430 د.ك </w:t>
      </w:r>
      <w:r w:rsidRPr="00871EFC">
        <w:rPr>
          <w:sz w:val="32"/>
          <w:szCs w:val="32"/>
        </w:rPr>
        <w:t>(</w:t>
      </w:r>
      <w:r w:rsidRPr="00871EFC">
        <w:rPr>
          <w:sz w:val="32"/>
          <w:szCs w:val="32"/>
          <w:rtl/>
        </w:rPr>
        <w:t>مائتين وإثنين وثلاثين ألفا وخمسة وستين ديناراً، وأربعمائة وثلاثين فلساً</w:t>
      </w:r>
      <w:r w:rsidRPr="00871EFC">
        <w:rPr>
          <w:sz w:val="32"/>
          <w:szCs w:val="32"/>
        </w:rPr>
        <w:t xml:space="preserve">) </w:t>
      </w:r>
      <w:r w:rsidRPr="00871EFC">
        <w:rPr>
          <w:sz w:val="32"/>
          <w:szCs w:val="32"/>
          <w:rtl/>
        </w:rPr>
        <w:t>، كتعويض عن الضرر المادي وتأييده فيما قضي به من تعويض أدبي، وألزمتها المصروفات ومبلغ خمسمائة دينار كأتعاب فعلية للمحاماة</w:t>
      </w:r>
      <w:r w:rsidRPr="00871EFC">
        <w:rPr>
          <w:sz w:val="32"/>
          <w:szCs w:val="32"/>
        </w:rPr>
        <w:t>.</w:t>
      </w:r>
    </w:p>
    <w:p w:rsidR="00871EFC" w:rsidRPr="00871EFC" w:rsidRDefault="00871EFC" w:rsidP="00871EFC">
      <w:pPr>
        <w:rPr>
          <w:sz w:val="32"/>
          <w:szCs w:val="32"/>
        </w:rPr>
      </w:pPr>
    </w:p>
    <w:p w:rsidR="00871EFC" w:rsidRPr="00871EFC" w:rsidRDefault="00871EFC" w:rsidP="00871EFC">
      <w:pPr>
        <w:rPr>
          <w:sz w:val="32"/>
          <w:szCs w:val="32"/>
        </w:rPr>
      </w:pPr>
      <w:bookmarkStart w:id="17" w:name="Anchor758"/>
      <w:bookmarkEnd w:id="17"/>
      <w:r w:rsidRPr="00871EFC">
        <w:rPr>
          <w:sz w:val="32"/>
          <w:szCs w:val="32"/>
        </w:rPr>
        <w:t>* * *</w:t>
      </w:r>
    </w:p>
    <w:p w:rsidR="00D32E0F" w:rsidRPr="00871EFC" w:rsidRDefault="00D32E0F">
      <w:pPr>
        <w:rPr>
          <w:sz w:val="32"/>
          <w:szCs w:val="32"/>
        </w:rPr>
      </w:pPr>
    </w:p>
    <w:sectPr w:rsidR="00D32E0F" w:rsidRPr="00871EF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32"/>
    <w:rsid w:val="0003272B"/>
    <w:rsid w:val="00727D32"/>
    <w:rsid w:val="00871EFC"/>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871E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1EFC"/>
    <w:rPr>
      <w:color w:val="0000FF"/>
      <w:u w:val="single"/>
    </w:rPr>
  </w:style>
  <w:style w:type="character" w:styleId="FollowedHyperlink">
    <w:name w:val="FollowedHyperlink"/>
    <w:basedOn w:val="DefaultParagraphFont"/>
    <w:uiPriority w:val="99"/>
    <w:semiHidden/>
    <w:unhideWhenUsed/>
    <w:rsid w:val="00871EFC"/>
    <w:rPr>
      <w:color w:val="800080"/>
      <w:u w:val="single"/>
    </w:rPr>
  </w:style>
  <w:style w:type="paragraph" w:styleId="NormalWeb">
    <w:name w:val="Normal (Web)"/>
    <w:basedOn w:val="Normal"/>
    <w:uiPriority w:val="99"/>
    <w:semiHidden/>
    <w:unhideWhenUsed/>
    <w:rsid w:val="00871EF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871E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1EFC"/>
    <w:rPr>
      <w:color w:val="0000FF"/>
      <w:u w:val="single"/>
    </w:rPr>
  </w:style>
  <w:style w:type="character" w:styleId="FollowedHyperlink">
    <w:name w:val="FollowedHyperlink"/>
    <w:basedOn w:val="DefaultParagraphFont"/>
    <w:uiPriority w:val="99"/>
    <w:semiHidden/>
    <w:unhideWhenUsed/>
    <w:rsid w:val="00871EFC"/>
    <w:rPr>
      <w:color w:val="800080"/>
      <w:u w:val="single"/>
    </w:rPr>
  </w:style>
  <w:style w:type="paragraph" w:styleId="NormalWeb">
    <w:name w:val="Normal (Web)"/>
    <w:basedOn w:val="Normal"/>
    <w:uiPriority w:val="99"/>
    <w:semiHidden/>
    <w:unhideWhenUsed/>
    <w:rsid w:val="00871EF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182">
      <w:bodyDiv w:val="1"/>
      <w:marLeft w:val="0"/>
      <w:marRight w:val="0"/>
      <w:marTop w:val="0"/>
      <w:marBottom w:val="0"/>
      <w:divBdr>
        <w:top w:val="none" w:sz="0" w:space="0" w:color="auto"/>
        <w:left w:val="none" w:sz="0" w:space="0" w:color="auto"/>
        <w:bottom w:val="none" w:sz="0" w:space="0" w:color="auto"/>
        <w:right w:val="none" w:sz="0" w:space="0" w:color="auto"/>
      </w:divBdr>
      <w:divsChild>
        <w:div w:id="458575331">
          <w:marLeft w:val="0"/>
          <w:marRight w:val="0"/>
          <w:marTop w:val="0"/>
          <w:marBottom w:val="0"/>
          <w:divBdr>
            <w:top w:val="none" w:sz="0" w:space="0" w:color="auto"/>
            <w:left w:val="none" w:sz="0" w:space="0" w:color="auto"/>
            <w:bottom w:val="none" w:sz="0" w:space="0" w:color="auto"/>
            <w:right w:val="none" w:sz="0" w:space="0" w:color="auto"/>
          </w:divBdr>
        </w:div>
        <w:div w:id="400251999">
          <w:marLeft w:val="0"/>
          <w:marRight w:val="0"/>
          <w:marTop w:val="0"/>
          <w:marBottom w:val="0"/>
          <w:divBdr>
            <w:top w:val="none" w:sz="0" w:space="0" w:color="auto"/>
            <w:left w:val="none" w:sz="0" w:space="0" w:color="auto"/>
            <w:bottom w:val="none" w:sz="0" w:space="0" w:color="auto"/>
            <w:right w:val="none" w:sz="0" w:space="0" w:color="auto"/>
          </w:divBdr>
        </w:div>
        <w:div w:id="1292370260">
          <w:marLeft w:val="0"/>
          <w:marRight w:val="0"/>
          <w:marTop w:val="0"/>
          <w:marBottom w:val="0"/>
          <w:divBdr>
            <w:top w:val="none" w:sz="0" w:space="0" w:color="auto"/>
            <w:left w:val="none" w:sz="0" w:space="0" w:color="auto"/>
            <w:bottom w:val="none" w:sz="0" w:space="0" w:color="auto"/>
            <w:right w:val="none" w:sz="0" w:space="0" w:color="auto"/>
          </w:divBdr>
        </w:div>
        <w:div w:id="115099436">
          <w:marLeft w:val="0"/>
          <w:marRight w:val="0"/>
          <w:marTop w:val="0"/>
          <w:marBottom w:val="0"/>
          <w:divBdr>
            <w:top w:val="none" w:sz="0" w:space="0" w:color="auto"/>
            <w:left w:val="none" w:sz="0" w:space="0" w:color="auto"/>
            <w:bottom w:val="none" w:sz="0" w:space="0" w:color="auto"/>
            <w:right w:val="none" w:sz="0" w:space="0" w:color="auto"/>
          </w:divBdr>
        </w:div>
        <w:div w:id="29888698">
          <w:marLeft w:val="0"/>
          <w:marRight w:val="0"/>
          <w:marTop w:val="0"/>
          <w:marBottom w:val="0"/>
          <w:divBdr>
            <w:top w:val="none" w:sz="0" w:space="0" w:color="auto"/>
            <w:left w:val="none" w:sz="0" w:space="0" w:color="auto"/>
            <w:bottom w:val="none" w:sz="0" w:space="0" w:color="auto"/>
            <w:right w:val="none" w:sz="0" w:space="0" w:color="auto"/>
          </w:divBdr>
        </w:div>
        <w:div w:id="853031306">
          <w:marLeft w:val="0"/>
          <w:marRight w:val="0"/>
          <w:marTop w:val="0"/>
          <w:marBottom w:val="0"/>
          <w:divBdr>
            <w:top w:val="none" w:sz="0" w:space="0" w:color="auto"/>
            <w:left w:val="none" w:sz="0" w:space="0" w:color="auto"/>
            <w:bottom w:val="none" w:sz="0" w:space="0" w:color="auto"/>
            <w:right w:val="none" w:sz="0" w:space="0" w:color="auto"/>
          </w:divBdr>
        </w:div>
        <w:div w:id="2017538469">
          <w:marLeft w:val="0"/>
          <w:marRight w:val="0"/>
          <w:marTop w:val="0"/>
          <w:marBottom w:val="0"/>
          <w:divBdr>
            <w:top w:val="none" w:sz="0" w:space="0" w:color="auto"/>
            <w:left w:val="none" w:sz="0" w:space="0" w:color="auto"/>
            <w:bottom w:val="none" w:sz="0" w:space="0" w:color="auto"/>
            <w:right w:val="none" w:sz="0" w:space="0" w:color="auto"/>
          </w:divBdr>
        </w:div>
        <w:div w:id="329137158">
          <w:marLeft w:val="0"/>
          <w:marRight w:val="0"/>
          <w:marTop w:val="0"/>
          <w:marBottom w:val="0"/>
          <w:divBdr>
            <w:top w:val="none" w:sz="0" w:space="0" w:color="auto"/>
            <w:left w:val="none" w:sz="0" w:space="0" w:color="auto"/>
            <w:bottom w:val="none" w:sz="0" w:space="0" w:color="auto"/>
            <w:right w:val="none" w:sz="0" w:space="0" w:color="auto"/>
          </w:divBdr>
        </w:div>
        <w:div w:id="1430738285">
          <w:marLeft w:val="0"/>
          <w:marRight w:val="0"/>
          <w:marTop w:val="0"/>
          <w:marBottom w:val="0"/>
          <w:divBdr>
            <w:top w:val="none" w:sz="0" w:space="0" w:color="auto"/>
            <w:left w:val="none" w:sz="0" w:space="0" w:color="auto"/>
            <w:bottom w:val="none" w:sz="0" w:space="0" w:color="auto"/>
            <w:right w:val="none" w:sz="0" w:space="0" w:color="auto"/>
          </w:divBdr>
        </w:div>
        <w:div w:id="1306622218">
          <w:marLeft w:val="0"/>
          <w:marRight w:val="0"/>
          <w:marTop w:val="0"/>
          <w:marBottom w:val="0"/>
          <w:divBdr>
            <w:top w:val="none" w:sz="0" w:space="0" w:color="auto"/>
            <w:left w:val="none" w:sz="0" w:space="0" w:color="auto"/>
            <w:bottom w:val="none" w:sz="0" w:space="0" w:color="auto"/>
            <w:right w:val="none" w:sz="0" w:space="0" w:color="auto"/>
          </w:divBdr>
        </w:div>
        <w:div w:id="367686779">
          <w:marLeft w:val="0"/>
          <w:marRight w:val="0"/>
          <w:marTop w:val="0"/>
          <w:marBottom w:val="0"/>
          <w:divBdr>
            <w:top w:val="none" w:sz="0" w:space="0" w:color="auto"/>
            <w:left w:val="none" w:sz="0" w:space="0" w:color="auto"/>
            <w:bottom w:val="none" w:sz="0" w:space="0" w:color="auto"/>
            <w:right w:val="none" w:sz="0" w:space="0" w:color="auto"/>
          </w:divBdr>
        </w:div>
        <w:div w:id="1170754676">
          <w:marLeft w:val="0"/>
          <w:marRight w:val="0"/>
          <w:marTop w:val="0"/>
          <w:marBottom w:val="0"/>
          <w:divBdr>
            <w:top w:val="none" w:sz="0" w:space="0" w:color="auto"/>
            <w:left w:val="none" w:sz="0" w:space="0" w:color="auto"/>
            <w:bottom w:val="none" w:sz="0" w:space="0" w:color="auto"/>
            <w:right w:val="none" w:sz="0" w:space="0" w:color="auto"/>
          </w:divBdr>
        </w:div>
        <w:div w:id="726685086">
          <w:marLeft w:val="0"/>
          <w:marRight w:val="0"/>
          <w:marTop w:val="0"/>
          <w:marBottom w:val="0"/>
          <w:divBdr>
            <w:top w:val="none" w:sz="0" w:space="0" w:color="auto"/>
            <w:left w:val="none" w:sz="0" w:space="0" w:color="auto"/>
            <w:bottom w:val="none" w:sz="0" w:space="0" w:color="auto"/>
            <w:right w:val="none" w:sz="0" w:space="0" w:color="auto"/>
          </w:divBdr>
        </w:div>
        <w:div w:id="678123154">
          <w:marLeft w:val="0"/>
          <w:marRight w:val="0"/>
          <w:marTop w:val="0"/>
          <w:marBottom w:val="0"/>
          <w:divBdr>
            <w:top w:val="none" w:sz="0" w:space="0" w:color="auto"/>
            <w:left w:val="none" w:sz="0" w:space="0" w:color="auto"/>
            <w:bottom w:val="none" w:sz="0" w:space="0" w:color="auto"/>
            <w:right w:val="none" w:sz="0" w:space="0" w:color="auto"/>
          </w:divBdr>
        </w:div>
        <w:div w:id="801968890">
          <w:marLeft w:val="0"/>
          <w:marRight w:val="0"/>
          <w:marTop w:val="0"/>
          <w:marBottom w:val="0"/>
          <w:divBdr>
            <w:top w:val="none" w:sz="0" w:space="0" w:color="auto"/>
            <w:left w:val="none" w:sz="0" w:space="0" w:color="auto"/>
            <w:bottom w:val="none" w:sz="0" w:space="0" w:color="auto"/>
            <w:right w:val="none" w:sz="0" w:space="0" w:color="auto"/>
          </w:divBdr>
        </w:div>
        <w:div w:id="473721847">
          <w:marLeft w:val="0"/>
          <w:marRight w:val="0"/>
          <w:marTop w:val="0"/>
          <w:marBottom w:val="0"/>
          <w:divBdr>
            <w:top w:val="none" w:sz="0" w:space="0" w:color="auto"/>
            <w:left w:val="none" w:sz="0" w:space="0" w:color="auto"/>
            <w:bottom w:val="none" w:sz="0" w:space="0" w:color="auto"/>
            <w:right w:val="none" w:sz="0" w:space="0" w:color="auto"/>
          </w:divBdr>
        </w:div>
      </w:divsChild>
    </w:div>
    <w:div w:id="2028098270">
      <w:bodyDiv w:val="1"/>
      <w:marLeft w:val="0"/>
      <w:marRight w:val="0"/>
      <w:marTop w:val="0"/>
      <w:marBottom w:val="0"/>
      <w:divBdr>
        <w:top w:val="none" w:sz="0" w:space="0" w:color="auto"/>
        <w:left w:val="none" w:sz="0" w:space="0" w:color="auto"/>
        <w:bottom w:val="none" w:sz="0" w:space="0" w:color="auto"/>
        <w:right w:val="none" w:sz="0" w:space="0" w:color="auto"/>
      </w:divBdr>
      <w:divsChild>
        <w:div w:id="264503321">
          <w:marLeft w:val="0"/>
          <w:marRight w:val="0"/>
          <w:marTop w:val="0"/>
          <w:marBottom w:val="0"/>
          <w:divBdr>
            <w:top w:val="none" w:sz="0" w:space="0" w:color="auto"/>
            <w:left w:val="none" w:sz="0" w:space="0" w:color="auto"/>
            <w:bottom w:val="none" w:sz="0" w:space="0" w:color="auto"/>
            <w:right w:val="none" w:sz="0" w:space="0" w:color="auto"/>
          </w:divBdr>
        </w:div>
        <w:div w:id="1115710501">
          <w:marLeft w:val="0"/>
          <w:marRight w:val="0"/>
          <w:marTop w:val="0"/>
          <w:marBottom w:val="0"/>
          <w:divBdr>
            <w:top w:val="none" w:sz="0" w:space="0" w:color="auto"/>
            <w:left w:val="none" w:sz="0" w:space="0" w:color="auto"/>
            <w:bottom w:val="none" w:sz="0" w:space="0" w:color="auto"/>
            <w:right w:val="none" w:sz="0" w:space="0" w:color="auto"/>
          </w:divBdr>
        </w:div>
        <w:div w:id="2002344825">
          <w:marLeft w:val="0"/>
          <w:marRight w:val="0"/>
          <w:marTop w:val="0"/>
          <w:marBottom w:val="0"/>
          <w:divBdr>
            <w:top w:val="none" w:sz="0" w:space="0" w:color="auto"/>
            <w:left w:val="none" w:sz="0" w:space="0" w:color="auto"/>
            <w:bottom w:val="none" w:sz="0" w:space="0" w:color="auto"/>
            <w:right w:val="none" w:sz="0" w:space="0" w:color="auto"/>
          </w:divBdr>
        </w:div>
        <w:div w:id="1545751324">
          <w:marLeft w:val="0"/>
          <w:marRight w:val="0"/>
          <w:marTop w:val="0"/>
          <w:marBottom w:val="0"/>
          <w:divBdr>
            <w:top w:val="none" w:sz="0" w:space="0" w:color="auto"/>
            <w:left w:val="none" w:sz="0" w:space="0" w:color="auto"/>
            <w:bottom w:val="none" w:sz="0" w:space="0" w:color="auto"/>
            <w:right w:val="none" w:sz="0" w:space="0" w:color="auto"/>
          </w:divBdr>
        </w:div>
        <w:div w:id="36320408">
          <w:marLeft w:val="0"/>
          <w:marRight w:val="0"/>
          <w:marTop w:val="0"/>
          <w:marBottom w:val="0"/>
          <w:divBdr>
            <w:top w:val="none" w:sz="0" w:space="0" w:color="auto"/>
            <w:left w:val="none" w:sz="0" w:space="0" w:color="auto"/>
            <w:bottom w:val="none" w:sz="0" w:space="0" w:color="auto"/>
            <w:right w:val="none" w:sz="0" w:space="0" w:color="auto"/>
          </w:divBdr>
        </w:div>
        <w:div w:id="1106925716">
          <w:marLeft w:val="0"/>
          <w:marRight w:val="0"/>
          <w:marTop w:val="0"/>
          <w:marBottom w:val="0"/>
          <w:divBdr>
            <w:top w:val="none" w:sz="0" w:space="0" w:color="auto"/>
            <w:left w:val="none" w:sz="0" w:space="0" w:color="auto"/>
            <w:bottom w:val="none" w:sz="0" w:space="0" w:color="auto"/>
            <w:right w:val="none" w:sz="0" w:space="0" w:color="auto"/>
          </w:divBdr>
        </w:div>
        <w:div w:id="1213031180">
          <w:marLeft w:val="0"/>
          <w:marRight w:val="0"/>
          <w:marTop w:val="0"/>
          <w:marBottom w:val="0"/>
          <w:divBdr>
            <w:top w:val="none" w:sz="0" w:space="0" w:color="auto"/>
            <w:left w:val="none" w:sz="0" w:space="0" w:color="auto"/>
            <w:bottom w:val="none" w:sz="0" w:space="0" w:color="auto"/>
            <w:right w:val="none" w:sz="0" w:space="0" w:color="auto"/>
          </w:divBdr>
        </w:div>
        <w:div w:id="1577471075">
          <w:marLeft w:val="0"/>
          <w:marRight w:val="0"/>
          <w:marTop w:val="0"/>
          <w:marBottom w:val="0"/>
          <w:divBdr>
            <w:top w:val="none" w:sz="0" w:space="0" w:color="auto"/>
            <w:left w:val="none" w:sz="0" w:space="0" w:color="auto"/>
            <w:bottom w:val="none" w:sz="0" w:space="0" w:color="auto"/>
            <w:right w:val="none" w:sz="0" w:space="0" w:color="auto"/>
          </w:divBdr>
        </w:div>
        <w:div w:id="179585518">
          <w:marLeft w:val="0"/>
          <w:marRight w:val="0"/>
          <w:marTop w:val="0"/>
          <w:marBottom w:val="0"/>
          <w:divBdr>
            <w:top w:val="none" w:sz="0" w:space="0" w:color="auto"/>
            <w:left w:val="none" w:sz="0" w:space="0" w:color="auto"/>
            <w:bottom w:val="none" w:sz="0" w:space="0" w:color="auto"/>
            <w:right w:val="none" w:sz="0" w:space="0" w:color="auto"/>
          </w:divBdr>
        </w:div>
        <w:div w:id="1498418857">
          <w:marLeft w:val="0"/>
          <w:marRight w:val="0"/>
          <w:marTop w:val="0"/>
          <w:marBottom w:val="0"/>
          <w:divBdr>
            <w:top w:val="none" w:sz="0" w:space="0" w:color="auto"/>
            <w:left w:val="none" w:sz="0" w:space="0" w:color="auto"/>
            <w:bottom w:val="none" w:sz="0" w:space="0" w:color="auto"/>
            <w:right w:val="none" w:sz="0" w:space="0" w:color="auto"/>
          </w:divBdr>
        </w:div>
        <w:div w:id="1866481059">
          <w:marLeft w:val="0"/>
          <w:marRight w:val="0"/>
          <w:marTop w:val="0"/>
          <w:marBottom w:val="0"/>
          <w:divBdr>
            <w:top w:val="none" w:sz="0" w:space="0" w:color="auto"/>
            <w:left w:val="none" w:sz="0" w:space="0" w:color="auto"/>
            <w:bottom w:val="none" w:sz="0" w:space="0" w:color="auto"/>
            <w:right w:val="none" w:sz="0" w:space="0" w:color="auto"/>
          </w:divBdr>
        </w:div>
        <w:div w:id="635985049">
          <w:marLeft w:val="0"/>
          <w:marRight w:val="0"/>
          <w:marTop w:val="0"/>
          <w:marBottom w:val="0"/>
          <w:divBdr>
            <w:top w:val="none" w:sz="0" w:space="0" w:color="auto"/>
            <w:left w:val="none" w:sz="0" w:space="0" w:color="auto"/>
            <w:bottom w:val="none" w:sz="0" w:space="0" w:color="auto"/>
            <w:right w:val="none" w:sz="0" w:space="0" w:color="auto"/>
          </w:divBdr>
        </w:div>
        <w:div w:id="2121098138">
          <w:marLeft w:val="0"/>
          <w:marRight w:val="0"/>
          <w:marTop w:val="0"/>
          <w:marBottom w:val="0"/>
          <w:divBdr>
            <w:top w:val="none" w:sz="0" w:space="0" w:color="auto"/>
            <w:left w:val="none" w:sz="0" w:space="0" w:color="auto"/>
            <w:bottom w:val="none" w:sz="0" w:space="0" w:color="auto"/>
            <w:right w:val="none" w:sz="0" w:space="0" w:color="auto"/>
          </w:divBdr>
        </w:div>
        <w:div w:id="811289486">
          <w:marLeft w:val="0"/>
          <w:marRight w:val="0"/>
          <w:marTop w:val="0"/>
          <w:marBottom w:val="0"/>
          <w:divBdr>
            <w:top w:val="none" w:sz="0" w:space="0" w:color="auto"/>
            <w:left w:val="none" w:sz="0" w:space="0" w:color="auto"/>
            <w:bottom w:val="none" w:sz="0" w:space="0" w:color="auto"/>
            <w:right w:val="none" w:sz="0" w:space="0" w:color="auto"/>
          </w:divBdr>
        </w:div>
        <w:div w:id="852954350">
          <w:marLeft w:val="0"/>
          <w:marRight w:val="0"/>
          <w:marTop w:val="0"/>
          <w:marBottom w:val="0"/>
          <w:divBdr>
            <w:top w:val="none" w:sz="0" w:space="0" w:color="auto"/>
            <w:left w:val="none" w:sz="0" w:space="0" w:color="auto"/>
            <w:bottom w:val="none" w:sz="0" w:space="0" w:color="auto"/>
            <w:right w:val="none" w:sz="0" w:space="0" w:color="auto"/>
          </w:divBdr>
        </w:div>
        <w:div w:id="478427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2020-04-26T13:18:00Z</dcterms:created>
  <dcterms:modified xsi:type="dcterms:W3CDTF">2020-04-26T13:19:00Z</dcterms:modified>
</cp:coreProperties>
</file>