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DCB" w:rsidRPr="009C2DCB" w:rsidRDefault="009C2DCB" w:rsidP="009C2DCB">
      <w:pPr>
        <w:jc w:val="center"/>
        <w:rPr>
          <w:sz w:val="32"/>
          <w:szCs w:val="32"/>
        </w:rPr>
      </w:pPr>
      <w:bookmarkStart w:id="0" w:name="Anchor1"/>
      <w:bookmarkEnd w:id="0"/>
      <w:r w:rsidRPr="009C2DCB">
        <w:rPr>
          <w:sz w:val="32"/>
          <w:szCs w:val="32"/>
          <w:rtl/>
        </w:rPr>
        <w:t xml:space="preserve">الطعن رقم </w:t>
      </w:r>
      <w:r w:rsidRPr="009C2DCB">
        <w:rPr>
          <w:sz w:val="32"/>
          <w:szCs w:val="32"/>
        </w:rPr>
        <w:t>1654/2</w:t>
      </w:r>
      <w:bookmarkStart w:id="1" w:name="_GoBack"/>
      <w:bookmarkEnd w:id="1"/>
      <w:r w:rsidRPr="009C2DCB">
        <w:rPr>
          <w:sz w:val="32"/>
          <w:szCs w:val="32"/>
        </w:rPr>
        <w:t>012</w:t>
      </w:r>
    </w:p>
    <w:p w:rsidR="009C2DCB" w:rsidRPr="009C2DCB" w:rsidRDefault="009C2DCB" w:rsidP="009C2DCB">
      <w:pPr>
        <w:rPr>
          <w:sz w:val="32"/>
          <w:szCs w:val="32"/>
        </w:rPr>
      </w:pPr>
      <w:bookmarkStart w:id="2" w:name="Anchor7"/>
      <w:bookmarkEnd w:id="2"/>
      <w:r w:rsidRPr="009C2DCB">
        <w:rPr>
          <w:sz w:val="32"/>
          <w:szCs w:val="32"/>
          <w:rtl/>
        </w:rPr>
        <w:t>هيئة المحكمة</w:t>
      </w:r>
      <w:r w:rsidRPr="009C2DCB">
        <w:rPr>
          <w:sz w:val="32"/>
          <w:szCs w:val="32"/>
        </w:rPr>
        <w:t xml:space="preserve">: </w:t>
      </w:r>
      <w:r w:rsidRPr="009C2DCB">
        <w:rPr>
          <w:sz w:val="32"/>
          <w:szCs w:val="32"/>
          <w:rtl/>
        </w:rPr>
        <w:t>برئاسة السيد المستشار عبدالعزيز الفهد وكيل المحكمة وعضوية السادة المستشارين يوسف العمران ومحمود التركاوي وضياء الدين أبو الحسن وعطيه النادي</w:t>
      </w:r>
    </w:p>
    <w:bookmarkStart w:id="3" w:name="Anchor27"/>
    <w:bookmarkEnd w:id="3"/>
    <w:p w:rsidR="009C2DCB" w:rsidRPr="009C2DCB" w:rsidRDefault="009C2DCB" w:rsidP="009C2DCB">
      <w:pPr>
        <w:rPr>
          <w:sz w:val="32"/>
          <w:szCs w:val="32"/>
        </w:rPr>
      </w:pPr>
      <w:r w:rsidRPr="009C2DCB">
        <w:rPr>
          <w:sz w:val="32"/>
          <w:szCs w:val="32"/>
        </w:rPr>
        <w:fldChar w:fldCharType="begin"/>
      </w:r>
      <w:r w:rsidRPr="009C2DCB">
        <w:rPr>
          <w:sz w:val="32"/>
          <w:szCs w:val="32"/>
        </w:rPr>
        <w:instrText xml:space="preserve"> HYPERLINK "http://www.law.gov.kw/KWT_CC-Ar/00_2014/00_%D8%A7%D9%84%D8%AF%D8%A7%D8%A6%D8%B1%D8%A9%20%D8%A7%D9%84%D8%AA%D8%AC%D8%A7%D8%B1%D9%8A%D8%A9/KWT-CC-Ar_2014-09-22_01654_Taan.html" \l "TM2014_1654_1" </w:instrText>
      </w:r>
      <w:r w:rsidRPr="009C2DCB">
        <w:rPr>
          <w:sz w:val="32"/>
          <w:szCs w:val="32"/>
        </w:rPr>
        <w:fldChar w:fldCharType="separate"/>
      </w:r>
      <w:r w:rsidRPr="009C2DCB">
        <w:rPr>
          <w:rStyle w:val="Hyperlink"/>
          <w:sz w:val="32"/>
          <w:szCs w:val="32"/>
        </w:rPr>
        <w:t xml:space="preserve">1- </w:t>
      </w:r>
      <w:r w:rsidRPr="009C2DCB">
        <w:rPr>
          <w:rStyle w:val="Hyperlink"/>
          <w:sz w:val="32"/>
          <w:szCs w:val="32"/>
          <w:rtl/>
        </w:rPr>
        <w:t>ان ثبوت صحة التوقيع يكفي لإعطاء الورقة العرفية حجيتها في انه صاحب التوقيع قد ارتضى مضمون الورقة والتزم بجميع البيانات الواردة فيها والمذيلة بهذا التوقيع دون ان يكون له نفي حجية الورقة بعد اقراره بصحة التوقيع عليها الا بادعائه اختلاس التوقيع منه او ان الورقة كانت موقعة على بياض وحصل عليها المتمسك بها بغير رضاه وعندها عليها اثبات ما يدعيه</w:t>
      </w:r>
      <w:r w:rsidRPr="009C2DCB">
        <w:rPr>
          <w:rStyle w:val="Hyperlink"/>
          <w:sz w:val="32"/>
          <w:szCs w:val="32"/>
        </w:rPr>
        <w:t>.</w:t>
      </w:r>
      <w:r w:rsidRPr="009C2DCB">
        <w:rPr>
          <w:sz w:val="32"/>
          <w:szCs w:val="32"/>
        </w:rPr>
        <w:fldChar w:fldCharType="end"/>
      </w:r>
      <w:r w:rsidRPr="009C2DCB">
        <w:rPr>
          <w:sz w:val="32"/>
          <w:szCs w:val="32"/>
        </w:rPr>
        <w:br/>
      </w:r>
      <w:r w:rsidRPr="009C2DCB">
        <w:rPr>
          <w:sz w:val="32"/>
          <w:szCs w:val="32"/>
        </w:rPr>
        <w:br/>
      </w:r>
      <w:r w:rsidRPr="009C2DCB">
        <w:rPr>
          <w:sz w:val="32"/>
          <w:szCs w:val="32"/>
          <w:u w:val="single"/>
          <w:rtl/>
        </w:rPr>
        <w:t>ملاحظة</w:t>
      </w:r>
      <w:r w:rsidRPr="009C2DCB">
        <w:rPr>
          <w:sz w:val="32"/>
          <w:szCs w:val="32"/>
          <w:u w:val="single"/>
        </w:rPr>
        <w:t xml:space="preserve"> :</w:t>
      </w:r>
      <w:r w:rsidRPr="009C2DCB">
        <w:rPr>
          <w:sz w:val="32"/>
          <w:szCs w:val="32"/>
        </w:rPr>
        <w:br/>
      </w:r>
      <w:r w:rsidRPr="009C2DCB">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9C2DCB" w:rsidRPr="009C2DCB" w:rsidRDefault="009C2DCB" w:rsidP="009C2DCB">
      <w:pPr>
        <w:rPr>
          <w:sz w:val="32"/>
          <w:szCs w:val="32"/>
        </w:rPr>
      </w:pPr>
      <w:bookmarkStart w:id="4" w:name="Anchor61"/>
      <w:bookmarkEnd w:id="4"/>
      <w:r w:rsidRPr="009C2DCB">
        <w:rPr>
          <w:b/>
          <w:bCs/>
          <w:sz w:val="32"/>
          <w:szCs w:val="32"/>
          <w:rtl/>
        </w:rPr>
        <w:t>المحكمة</w:t>
      </w:r>
    </w:p>
    <w:p w:rsidR="009C2DCB" w:rsidRPr="009C2DCB" w:rsidRDefault="009C2DCB" w:rsidP="009C2DCB">
      <w:pPr>
        <w:rPr>
          <w:sz w:val="32"/>
          <w:szCs w:val="32"/>
        </w:rPr>
      </w:pPr>
      <w:bookmarkStart w:id="5" w:name="Anchor62"/>
      <w:bookmarkEnd w:id="5"/>
      <w:r w:rsidRPr="009C2DCB">
        <w:rPr>
          <w:sz w:val="32"/>
          <w:szCs w:val="32"/>
          <w:rtl/>
        </w:rPr>
        <w:t>بعد الاطلاع على الأوراق، والمداولة</w:t>
      </w:r>
      <w:r w:rsidRPr="009C2DCB">
        <w:rPr>
          <w:sz w:val="32"/>
          <w:szCs w:val="32"/>
        </w:rPr>
        <w:t>.</w:t>
      </w:r>
    </w:p>
    <w:p w:rsidR="009C2DCB" w:rsidRPr="009C2DCB" w:rsidRDefault="009C2DCB" w:rsidP="009C2DCB">
      <w:pPr>
        <w:rPr>
          <w:sz w:val="32"/>
          <w:szCs w:val="32"/>
        </w:rPr>
      </w:pPr>
      <w:bookmarkStart w:id="6" w:name="Anchor66"/>
      <w:bookmarkEnd w:id="6"/>
      <w:r w:rsidRPr="009C2DCB">
        <w:rPr>
          <w:sz w:val="32"/>
          <w:szCs w:val="32"/>
          <w:rtl/>
        </w:rPr>
        <w:t xml:space="preserve">لما كان من المقرر </w:t>
      </w:r>
      <w:r w:rsidRPr="009C2DCB">
        <w:rPr>
          <w:sz w:val="32"/>
          <w:szCs w:val="32"/>
        </w:rPr>
        <w:t xml:space="preserve">– </w:t>
      </w:r>
      <w:r w:rsidRPr="009C2DCB">
        <w:rPr>
          <w:sz w:val="32"/>
          <w:szCs w:val="32"/>
          <w:rtl/>
        </w:rPr>
        <w:t xml:space="preserve">وعلى ما جرى به قضاء هذه المحكمة </w:t>
      </w:r>
      <w:r w:rsidRPr="009C2DCB">
        <w:rPr>
          <w:sz w:val="32"/>
          <w:szCs w:val="32"/>
        </w:rPr>
        <w:t>–</w:t>
      </w:r>
      <w:r w:rsidRPr="009C2DCB">
        <w:rPr>
          <w:b/>
          <w:bCs/>
          <w:sz w:val="32"/>
          <w:szCs w:val="32"/>
        </w:rPr>
        <w:t xml:space="preserve"> </w:t>
      </w:r>
      <w:bookmarkStart w:id="7" w:name="TM2014_1654_1"/>
      <w:bookmarkEnd w:id="7"/>
      <w:r w:rsidRPr="009C2DCB">
        <w:rPr>
          <w:b/>
          <w:bCs/>
          <w:sz w:val="32"/>
          <w:szCs w:val="32"/>
          <w:rtl/>
        </w:rPr>
        <w:t>أن ثبوت صحة التوقيع يكفي لإعطاء الورقة العرفية حجيتها في أنه صاحب التوقيع قد أرتضى مضمون الورقة والتزم بجميع البيانات الواردة فيها، والمذيلة بهذا التوقيع</w:t>
      </w:r>
      <w:r w:rsidRPr="009C2DCB">
        <w:rPr>
          <w:b/>
          <w:bCs/>
          <w:sz w:val="32"/>
          <w:szCs w:val="32"/>
        </w:rPr>
        <w:t xml:space="preserve"> . </w:t>
      </w:r>
      <w:r w:rsidRPr="009C2DCB">
        <w:rPr>
          <w:b/>
          <w:bCs/>
          <w:sz w:val="32"/>
          <w:szCs w:val="32"/>
          <w:rtl/>
        </w:rPr>
        <w:t>وليس له نفي حجية الورقة بعد إقراره بصحة التوقيع عليها إلا بادعائه اختلاس التوقيع منه أو أن الورقة كانت موقعة على بياض وحصل عليها المتمسك بها بغير رضاه، وحينئذ عليه إثبات ما يدعيه</w:t>
      </w:r>
      <w:r w:rsidRPr="009C2DCB">
        <w:rPr>
          <w:b/>
          <w:bCs/>
          <w:sz w:val="32"/>
          <w:szCs w:val="32"/>
        </w:rPr>
        <w:t xml:space="preserve">. </w:t>
      </w:r>
      <w:r w:rsidRPr="009C2DCB">
        <w:rPr>
          <w:sz w:val="32"/>
          <w:szCs w:val="32"/>
          <w:rtl/>
        </w:rPr>
        <w:t>كما أن طلب ندب خبير هو من الرفض القانونية التي تستعملها محكمة الموضوع ، فلا عليها إن لم تستجب لهذا الطلب، طالما وجدت في أوراق الدعوى ما يكفي لتكوين عقيدتها للفصل فيها على وجه معين</w:t>
      </w:r>
      <w:r w:rsidRPr="009C2DCB">
        <w:rPr>
          <w:sz w:val="32"/>
          <w:szCs w:val="32"/>
        </w:rPr>
        <w:t xml:space="preserve">. </w:t>
      </w:r>
      <w:r w:rsidRPr="009C2DCB">
        <w:rPr>
          <w:sz w:val="32"/>
          <w:szCs w:val="32"/>
          <w:rtl/>
        </w:rPr>
        <w:t>وكانت المطعون ضدها قد ركنت في العريضة المقدمة لاستصدار أمر الأداء إلي أصل إيصال أمانة، تصدره أسم الطاعن ورقم بطاقته المدنية وموطنه، ثم أقر بتسلمه من الأخيرة المبلغ المطلب على سبيل الامانة، ورده منتهاه في 2010/2/15. وذيل الإيصال بإمضاء وبصمه منسوبين إليه</w:t>
      </w:r>
      <w:r w:rsidRPr="009C2DCB">
        <w:rPr>
          <w:sz w:val="32"/>
          <w:szCs w:val="32"/>
        </w:rPr>
        <w:t xml:space="preserve">. </w:t>
      </w:r>
      <w:r w:rsidRPr="009C2DCB">
        <w:rPr>
          <w:sz w:val="32"/>
          <w:szCs w:val="32"/>
          <w:rtl/>
        </w:rPr>
        <w:t xml:space="preserve">الذي شيد استئنافه المباشر لأمر الأداء، على أسباب حاصلها ما كان تربطه بالمطعون ضدها بثمة رابطه، بل يجمعه وزوجها معاملات تجارية ترتكز في بيع وشراء الأسهم ، وعلى أثرها حدد الإيصال </w:t>
      </w:r>
      <w:r w:rsidRPr="009C2DCB">
        <w:rPr>
          <w:sz w:val="32"/>
          <w:szCs w:val="32"/>
          <w:rtl/>
        </w:rPr>
        <w:lastRenderedPageBreak/>
        <w:t xml:space="preserve">مثار النزاع في عام </w:t>
      </w:r>
      <w:r w:rsidRPr="009C2DCB">
        <w:rPr>
          <w:sz w:val="32"/>
          <w:szCs w:val="32"/>
        </w:rPr>
        <w:t xml:space="preserve">2004 – 2005 </w:t>
      </w:r>
      <w:r w:rsidRPr="009C2DCB">
        <w:rPr>
          <w:sz w:val="32"/>
          <w:szCs w:val="32"/>
          <w:rtl/>
        </w:rPr>
        <w:t>ضماناً لتلك المعاملات</w:t>
      </w:r>
      <w:r w:rsidRPr="009C2DCB">
        <w:rPr>
          <w:sz w:val="32"/>
          <w:szCs w:val="32"/>
        </w:rPr>
        <w:t xml:space="preserve">. </w:t>
      </w:r>
      <w:r w:rsidRPr="009C2DCB">
        <w:rPr>
          <w:sz w:val="32"/>
          <w:szCs w:val="32"/>
          <w:rtl/>
        </w:rPr>
        <w:t>وقد أضافت المطعون ضدها في طلبه أسمه وأسم من تجب الوفاء له</w:t>
      </w:r>
      <w:r w:rsidRPr="009C2DCB">
        <w:rPr>
          <w:sz w:val="32"/>
          <w:szCs w:val="32"/>
        </w:rPr>
        <w:t xml:space="preserve">. </w:t>
      </w:r>
      <w:r w:rsidRPr="009C2DCB">
        <w:rPr>
          <w:sz w:val="32"/>
          <w:szCs w:val="32"/>
          <w:rtl/>
        </w:rPr>
        <w:t>وطلب ندب خبير لتحقيق واقعة تفسير مادي في صلب الإيصال بالإضافة</w:t>
      </w:r>
      <w:r w:rsidRPr="009C2DCB">
        <w:rPr>
          <w:sz w:val="32"/>
          <w:szCs w:val="32"/>
        </w:rPr>
        <w:t xml:space="preserve"> . </w:t>
      </w:r>
      <w:r w:rsidRPr="009C2DCB">
        <w:rPr>
          <w:sz w:val="32"/>
          <w:szCs w:val="32"/>
          <w:rtl/>
        </w:rPr>
        <w:t>ومفاد ذلك التسليم الصريح بصحة ما نسب إليه من امضاء وبصمة من وجد، وأن المحرر لم يكن موقعا على بياض خلال بيان اسم محرره ومن يجب الرد إليه من وجه أخر. بيد أنه لم يقدم ما يظاهر صحة ادعائه بخصوص أن علاقة قائمة بعينه وأخر، وطبيعة وشروط تلك العلاقة، وما آلت إليه. وما تم بشأن الواقع إلي تحرير الإيصال موضوع النزاع ، وصلة الأخر بالمطعون ضدها. ولم يفصح عن كيفية وصول ذلك الإيصال الي يد الأخيرة . ومن ثم فإن ما تضمنه من بيانات يكون حجة عليه، مما لا تجد معه حاجة الي ندب خبير . وإذ انتهى الحكم المطعون فيه إلي رفض الاستئناف موضوعا وتأييدا الأمر المستأنف، فلا جدوى للطاعن من التمسك بخطأه في فهم واقع الدعوى، ما دام هذا الخطأ لم يؤثر على النتيجة التي انتهى إليها الحكم. وكان الدفاع الذي ابداه الطاعن من عدم وثوقه بإمضاءه على الايصال، والذي كان موقع على بياض، وتفسير الحقيقة فيه من المطعون ضدها التي تواطت مع من استؤمن عليه، لم يسبق اثارته أمام محكمة الموضوع لتحققه وتقول كلمتها فيه ، فلا يقبل اثارته لأول مره أمام هذه المحكمة. ومن ثم عدا الطعن غير مقبول اعمالاً لحكم المادتين 152 ، 154/5 من قانون المرافعات المدنية والتجارية</w:t>
      </w:r>
      <w:r w:rsidRPr="009C2DCB">
        <w:rPr>
          <w:sz w:val="32"/>
          <w:szCs w:val="32"/>
        </w:rPr>
        <w:t>.</w:t>
      </w:r>
    </w:p>
    <w:p w:rsidR="009C2DCB" w:rsidRPr="009C2DCB" w:rsidRDefault="009C2DCB" w:rsidP="009C2DCB">
      <w:pPr>
        <w:rPr>
          <w:sz w:val="32"/>
          <w:szCs w:val="32"/>
        </w:rPr>
      </w:pPr>
      <w:bookmarkStart w:id="8" w:name="Anchor269"/>
      <w:bookmarkEnd w:id="8"/>
      <w:r w:rsidRPr="009C2DCB">
        <w:rPr>
          <w:sz w:val="32"/>
          <w:szCs w:val="32"/>
          <w:rtl/>
        </w:rPr>
        <w:t>لذلك</w:t>
      </w:r>
    </w:p>
    <w:p w:rsidR="009C2DCB" w:rsidRPr="009C2DCB" w:rsidRDefault="009C2DCB" w:rsidP="009C2DCB">
      <w:pPr>
        <w:rPr>
          <w:sz w:val="32"/>
          <w:szCs w:val="32"/>
        </w:rPr>
      </w:pPr>
      <w:bookmarkStart w:id="9" w:name="Anchor270"/>
      <w:bookmarkEnd w:id="9"/>
      <w:r w:rsidRPr="009C2DCB">
        <w:rPr>
          <w:sz w:val="32"/>
          <w:szCs w:val="32"/>
          <w:rtl/>
        </w:rPr>
        <w:t xml:space="preserve">قررت المحكمة </w:t>
      </w:r>
      <w:r w:rsidRPr="009C2DCB">
        <w:rPr>
          <w:sz w:val="32"/>
          <w:szCs w:val="32"/>
        </w:rPr>
        <w:t xml:space="preserve">– </w:t>
      </w:r>
      <w:r w:rsidRPr="009C2DCB">
        <w:rPr>
          <w:sz w:val="32"/>
          <w:szCs w:val="32"/>
          <w:rtl/>
        </w:rPr>
        <w:t>في غرفة المشورة</w:t>
      </w:r>
      <w:r w:rsidRPr="009C2DCB">
        <w:rPr>
          <w:sz w:val="32"/>
          <w:szCs w:val="32"/>
        </w:rPr>
        <w:t xml:space="preserve">- </w:t>
      </w:r>
      <w:r w:rsidRPr="009C2DCB">
        <w:rPr>
          <w:sz w:val="32"/>
          <w:szCs w:val="32"/>
          <w:rtl/>
        </w:rPr>
        <w:t>عدم قبول الطعن، وألزمت الطاعن المصروفات مع مصادرة الكفالة</w:t>
      </w:r>
      <w:r w:rsidRPr="009C2DCB">
        <w:rPr>
          <w:sz w:val="32"/>
          <w:szCs w:val="32"/>
        </w:rPr>
        <w:t>.</w:t>
      </w:r>
    </w:p>
    <w:p w:rsidR="009C2DCB" w:rsidRPr="009C2DCB" w:rsidRDefault="009C2DCB" w:rsidP="009C2DCB">
      <w:pPr>
        <w:rPr>
          <w:sz w:val="32"/>
          <w:szCs w:val="32"/>
        </w:rPr>
      </w:pPr>
    </w:p>
    <w:p w:rsidR="009C2DCB" w:rsidRPr="009C2DCB" w:rsidRDefault="009C2DCB" w:rsidP="009C2DCB">
      <w:pPr>
        <w:rPr>
          <w:sz w:val="32"/>
          <w:szCs w:val="32"/>
        </w:rPr>
      </w:pPr>
      <w:bookmarkStart w:id="10" w:name="Anchor282"/>
      <w:bookmarkEnd w:id="10"/>
      <w:r w:rsidRPr="009C2DCB">
        <w:rPr>
          <w:sz w:val="32"/>
          <w:szCs w:val="32"/>
        </w:rPr>
        <w:t>* * *</w:t>
      </w:r>
    </w:p>
    <w:p w:rsidR="008C2BA0" w:rsidRPr="009C2DCB" w:rsidRDefault="008C2BA0">
      <w:pPr>
        <w:rPr>
          <w:sz w:val="32"/>
          <w:szCs w:val="32"/>
        </w:rPr>
      </w:pPr>
    </w:p>
    <w:sectPr w:rsidR="008C2BA0" w:rsidRPr="009C2DC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FC5"/>
    <w:rsid w:val="0003272B"/>
    <w:rsid w:val="008C2BA0"/>
    <w:rsid w:val="009C2DCB"/>
    <w:rsid w:val="00A54F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D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D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015863">
      <w:bodyDiv w:val="1"/>
      <w:marLeft w:val="0"/>
      <w:marRight w:val="0"/>
      <w:marTop w:val="0"/>
      <w:marBottom w:val="0"/>
      <w:divBdr>
        <w:top w:val="none" w:sz="0" w:space="0" w:color="auto"/>
        <w:left w:val="none" w:sz="0" w:space="0" w:color="auto"/>
        <w:bottom w:val="none" w:sz="0" w:space="0" w:color="auto"/>
        <w:right w:val="none" w:sz="0" w:space="0" w:color="auto"/>
      </w:divBdr>
      <w:divsChild>
        <w:div w:id="1340889741">
          <w:marLeft w:val="0"/>
          <w:marRight w:val="0"/>
          <w:marTop w:val="0"/>
          <w:marBottom w:val="0"/>
          <w:divBdr>
            <w:top w:val="none" w:sz="0" w:space="0" w:color="auto"/>
            <w:left w:val="none" w:sz="0" w:space="0" w:color="auto"/>
            <w:bottom w:val="none" w:sz="0" w:space="0" w:color="auto"/>
            <w:right w:val="none" w:sz="0" w:space="0" w:color="auto"/>
          </w:divBdr>
        </w:div>
        <w:div w:id="1716615925">
          <w:marLeft w:val="0"/>
          <w:marRight w:val="0"/>
          <w:marTop w:val="0"/>
          <w:marBottom w:val="0"/>
          <w:divBdr>
            <w:top w:val="none" w:sz="0" w:space="0" w:color="auto"/>
            <w:left w:val="none" w:sz="0" w:space="0" w:color="auto"/>
            <w:bottom w:val="none" w:sz="0" w:space="0" w:color="auto"/>
            <w:right w:val="none" w:sz="0" w:space="0" w:color="auto"/>
          </w:divBdr>
        </w:div>
        <w:div w:id="684751599">
          <w:marLeft w:val="0"/>
          <w:marRight w:val="0"/>
          <w:marTop w:val="0"/>
          <w:marBottom w:val="0"/>
          <w:divBdr>
            <w:top w:val="none" w:sz="0" w:space="0" w:color="auto"/>
            <w:left w:val="none" w:sz="0" w:space="0" w:color="auto"/>
            <w:bottom w:val="none" w:sz="0" w:space="0" w:color="auto"/>
            <w:right w:val="none" w:sz="0" w:space="0" w:color="auto"/>
          </w:divBdr>
        </w:div>
        <w:div w:id="1589459390">
          <w:marLeft w:val="0"/>
          <w:marRight w:val="0"/>
          <w:marTop w:val="0"/>
          <w:marBottom w:val="0"/>
          <w:divBdr>
            <w:top w:val="none" w:sz="0" w:space="0" w:color="auto"/>
            <w:left w:val="none" w:sz="0" w:space="0" w:color="auto"/>
            <w:bottom w:val="none" w:sz="0" w:space="0" w:color="auto"/>
            <w:right w:val="none" w:sz="0" w:space="0" w:color="auto"/>
          </w:divBdr>
        </w:div>
        <w:div w:id="1051423405">
          <w:marLeft w:val="0"/>
          <w:marRight w:val="0"/>
          <w:marTop w:val="0"/>
          <w:marBottom w:val="0"/>
          <w:divBdr>
            <w:top w:val="none" w:sz="0" w:space="0" w:color="auto"/>
            <w:left w:val="none" w:sz="0" w:space="0" w:color="auto"/>
            <w:bottom w:val="none" w:sz="0" w:space="0" w:color="auto"/>
            <w:right w:val="none" w:sz="0" w:space="0" w:color="auto"/>
          </w:divBdr>
        </w:div>
        <w:div w:id="125198976">
          <w:marLeft w:val="0"/>
          <w:marRight w:val="0"/>
          <w:marTop w:val="0"/>
          <w:marBottom w:val="0"/>
          <w:divBdr>
            <w:top w:val="none" w:sz="0" w:space="0" w:color="auto"/>
            <w:left w:val="none" w:sz="0" w:space="0" w:color="auto"/>
            <w:bottom w:val="none" w:sz="0" w:space="0" w:color="auto"/>
            <w:right w:val="none" w:sz="0" w:space="0" w:color="auto"/>
          </w:divBdr>
        </w:div>
        <w:div w:id="1916358579">
          <w:marLeft w:val="0"/>
          <w:marRight w:val="0"/>
          <w:marTop w:val="0"/>
          <w:marBottom w:val="0"/>
          <w:divBdr>
            <w:top w:val="none" w:sz="0" w:space="0" w:color="auto"/>
            <w:left w:val="none" w:sz="0" w:space="0" w:color="auto"/>
            <w:bottom w:val="none" w:sz="0" w:space="0" w:color="auto"/>
            <w:right w:val="none" w:sz="0" w:space="0" w:color="auto"/>
          </w:divBdr>
        </w:div>
        <w:div w:id="891306080">
          <w:marLeft w:val="0"/>
          <w:marRight w:val="0"/>
          <w:marTop w:val="0"/>
          <w:marBottom w:val="0"/>
          <w:divBdr>
            <w:top w:val="none" w:sz="0" w:space="0" w:color="auto"/>
            <w:left w:val="none" w:sz="0" w:space="0" w:color="auto"/>
            <w:bottom w:val="none" w:sz="0" w:space="0" w:color="auto"/>
            <w:right w:val="none" w:sz="0" w:space="0" w:color="auto"/>
          </w:divBdr>
        </w:div>
        <w:div w:id="1002663355">
          <w:marLeft w:val="0"/>
          <w:marRight w:val="0"/>
          <w:marTop w:val="0"/>
          <w:marBottom w:val="0"/>
          <w:divBdr>
            <w:top w:val="none" w:sz="0" w:space="0" w:color="auto"/>
            <w:left w:val="none" w:sz="0" w:space="0" w:color="auto"/>
            <w:bottom w:val="none" w:sz="0" w:space="0" w:color="auto"/>
            <w:right w:val="none" w:sz="0" w:space="0" w:color="auto"/>
          </w:divBdr>
        </w:div>
      </w:divsChild>
    </w:div>
    <w:div w:id="1202136217">
      <w:bodyDiv w:val="1"/>
      <w:marLeft w:val="0"/>
      <w:marRight w:val="0"/>
      <w:marTop w:val="0"/>
      <w:marBottom w:val="0"/>
      <w:divBdr>
        <w:top w:val="none" w:sz="0" w:space="0" w:color="auto"/>
        <w:left w:val="none" w:sz="0" w:space="0" w:color="auto"/>
        <w:bottom w:val="none" w:sz="0" w:space="0" w:color="auto"/>
        <w:right w:val="none" w:sz="0" w:space="0" w:color="auto"/>
      </w:divBdr>
      <w:divsChild>
        <w:div w:id="1446465270">
          <w:marLeft w:val="0"/>
          <w:marRight w:val="0"/>
          <w:marTop w:val="0"/>
          <w:marBottom w:val="0"/>
          <w:divBdr>
            <w:top w:val="none" w:sz="0" w:space="0" w:color="auto"/>
            <w:left w:val="none" w:sz="0" w:space="0" w:color="auto"/>
            <w:bottom w:val="none" w:sz="0" w:space="0" w:color="auto"/>
            <w:right w:val="none" w:sz="0" w:space="0" w:color="auto"/>
          </w:divBdr>
        </w:div>
        <w:div w:id="1174489574">
          <w:marLeft w:val="0"/>
          <w:marRight w:val="0"/>
          <w:marTop w:val="0"/>
          <w:marBottom w:val="0"/>
          <w:divBdr>
            <w:top w:val="none" w:sz="0" w:space="0" w:color="auto"/>
            <w:left w:val="none" w:sz="0" w:space="0" w:color="auto"/>
            <w:bottom w:val="none" w:sz="0" w:space="0" w:color="auto"/>
            <w:right w:val="none" w:sz="0" w:space="0" w:color="auto"/>
          </w:divBdr>
        </w:div>
        <w:div w:id="614948131">
          <w:marLeft w:val="0"/>
          <w:marRight w:val="0"/>
          <w:marTop w:val="0"/>
          <w:marBottom w:val="0"/>
          <w:divBdr>
            <w:top w:val="none" w:sz="0" w:space="0" w:color="auto"/>
            <w:left w:val="none" w:sz="0" w:space="0" w:color="auto"/>
            <w:bottom w:val="none" w:sz="0" w:space="0" w:color="auto"/>
            <w:right w:val="none" w:sz="0" w:space="0" w:color="auto"/>
          </w:divBdr>
        </w:div>
        <w:div w:id="512498171">
          <w:marLeft w:val="0"/>
          <w:marRight w:val="0"/>
          <w:marTop w:val="0"/>
          <w:marBottom w:val="0"/>
          <w:divBdr>
            <w:top w:val="none" w:sz="0" w:space="0" w:color="auto"/>
            <w:left w:val="none" w:sz="0" w:space="0" w:color="auto"/>
            <w:bottom w:val="none" w:sz="0" w:space="0" w:color="auto"/>
            <w:right w:val="none" w:sz="0" w:space="0" w:color="auto"/>
          </w:divBdr>
        </w:div>
        <w:div w:id="1269965399">
          <w:marLeft w:val="0"/>
          <w:marRight w:val="0"/>
          <w:marTop w:val="0"/>
          <w:marBottom w:val="0"/>
          <w:divBdr>
            <w:top w:val="none" w:sz="0" w:space="0" w:color="auto"/>
            <w:left w:val="none" w:sz="0" w:space="0" w:color="auto"/>
            <w:bottom w:val="none" w:sz="0" w:space="0" w:color="auto"/>
            <w:right w:val="none" w:sz="0" w:space="0" w:color="auto"/>
          </w:divBdr>
        </w:div>
        <w:div w:id="1987929108">
          <w:marLeft w:val="0"/>
          <w:marRight w:val="0"/>
          <w:marTop w:val="0"/>
          <w:marBottom w:val="0"/>
          <w:divBdr>
            <w:top w:val="none" w:sz="0" w:space="0" w:color="auto"/>
            <w:left w:val="none" w:sz="0" w:space="0" w:color="auto"/>
            <w:bottom w:val="none" w:sz="0" w:space="0" w:color="auto"/>
            <w:right w:val="none" w:sz="0" w:space="0" w:color="auto"/>
          </w:divBdr>
        </w:div>
        <w:div w:id="122700783">
          <w:marLeft w:val="0"/>
          <w:marRight w:val="0"/>
          <w:marTop w:val="0"/>
          <w:marBottom w:val="0"/>
          <w:divBdr>
            <w:top w:val="none" w:sz="0" w:space="0" w:color="auto"/>
            <w:left w:val="none" w:sz="0" w:space="0" w:color="auto"/>
            <w:bottom w:val="none" w:sz="0" w:space="0" w:color="auto"/>
            <w:right w:val="none" w:sz="0" w:space="0" w:color="auto"/>
          </w:divBdr>
        </w:div>
        <w:div w:id="1277828956">
          <w:marLeft w:val="0"/>
          <w:marRight w:val="0"/>
          <w:marTop w:val="0"/>
          <w:marBottom w:val="0"/>
          <w:divBdr>
            <w:top w:val="none" w:sz="0" w:space="0" w:color="auto"/>
            <w:left w:val="none" w:sz="0" w:space="0" w:color="auto"/>
            <w:bottom w:val="none" w:sz="0" w:space="0" w:color="auto"/>
            <w:right w:val="none" w:sz="0" w:space="0" w:color="auto"/>
          </w:divBdr>
        </w:div>
        <w:div w:id="269048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2020-04-26T11:39:00Z</dcterms:created>
  <dcterms:modified xsi:type="dcterms:W3CDTF">2020-04-26T11:40:00Z</dcterms:modified>
</cp:coreProperties>
</file>