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2D" w:rsidRPr="00B4052D" w:rsidRDefault="00B4052D" w:rsidP="00B4052D">
      <w:pPr>
        <w:jc w:val="center"/>
        <w:rPr>
          <w:sz w:val="32"/>
          <w:szCs w:val="32"/>
        </w:rPr>
      </w:pPr>
      <w:bookmarkStart w:id="0" w:name="Anchor1"/>
      <w:bookmarkEnd w:id="0"/>
      <w:r w:rsidRPr="00B4052D">
        <w:rPr>
          <w:sz w:val="32"/>
          <w:szCs w:val="32"/>
          <w:rtl/>
        </w:rPr>
        <w:t xml:space="preserve">الطعن رقم </w:t>
      </w:r>
      <w:r w:rsidRPr="00B4052D">
        <w:rPr>
          <w:sz w:val="32"/>
          <w:szCs w:val="32"/>
        </w:rPr>
        <w:t xml:space="preserve">1677 </w:t>
      </w:r>
      <w:r w:rsidRPr="00B4052D">
        <w:rPr>
          <w:sz w:val="32"/>
          <w:szCs w:val="32"/>
          <w:rtl/>
        </w:rPr>
        <w:t>و 1</w:t>
      </w:r>
      <w:bookmarkStart w:id="1" w:name="_GoBack"/>
      <w:bookmarkEnd w:id="1"/>
      <w:r w:rsidRPr="00B4052D">
        <w:rPr>
          <w:sz w:val="32"/>
          <w:szCs w:val="32"/>
          <w:rtl/>
        </w:rPr>
        <w:t>705 لسنة 2013</w:t>
      </w:r>
    </w:p>
    <w:p w:rsidR="00B4052D" w:rsidRPr="00B4052D" w:rsidRDefault="00B4052D" w:rsidP="00B4052D">
      <w:pPr>
        <w:rPr>
          <w:sz w:val="32"/>
          <w:szCs w:val="32"/>
        </w:rPr>
      </w:pPr>
      <w:bookmarkStart w:id="2" w:name="Anchor8"/>
      <w:bookmarkEnd w:id="2"/>
      <w:r w:rsidRPr="00B4052D">
        <w:rPr>
          <w:sz w:val="32"/>
          <w:szCs w:val="32"/>
          <w:rtl/>
        </w:rPr>
        <w:t>هيئة المحكمة</w:t>
      </w:r>
      <w:r w:rsidRPr="00B4052D">
        <w:rPr>
          <w:sz w:val="32"/>
          <w:szCs w:val="32"/>
        </w:rPr>
        <w:t xml:space="preserve">: </w:t>
      </w:r>
      <w:r w:rsidRPr="00B4052D">
        <w:rPr>
          <w:sz w:val="32"/>
          <w:szCs w:val="32"/>
          <w:rtl/>
        </w:rPr>
        <w:t>برئاسة السيد المستشار عبدالهادي العطار وكيل المحكمة وعضوية السادة المستشارين يحيى موميه ومحمود عطا ومحمود عبد اللطيف وناصر مشالي</w:t>
      </w:r>
    </w:p>
    <w:bookmarkStart w:id="3" w:name="Anchor24"/>
    <w:bookmarkEnd w:id="3"/>
    <w:p w:rsidR="00B4052D" w:rsidRPr="00B4052D" w:rsidRDefault="00B4052D" w:rsidP="00B4052D">
      <w:pPr>
        <w:rPr>
          <w:sz w:val="32"/>
          <w:szCs w:val="32"/>
        </w:rPr>
      </w:pPr>
      <w:r w:rsidRPr="00B4052D">
        <w:rPr>
          <w:sz w:val="32"/>
          <w:szCs w:val="32"/>
        </w:rPr>
        <w:fldChar w:fldCharType="begin"/>
      </w:r>
      <w:r w:rsidRPr="00B4052D">
        <w:rPr>
          <w:sz w:val="32"/>
          <w:szCs w:val="32"/>
        </w:rPr>
        <w:instrText xml:space="preserve"> HYPERLINK "http://www.law.gov.kw/KWT_CC-Ar/00_2014/00_%D8%A7%D9%84%D8%AF%D8%A7%D8%A6%D8%B1%D8%A9%20%D8%A7%D9%84%D8%AA%D8%AC%D8%A7%D8%B1%D9%8A%D8%A9/KWT-CC-Ar_2014-04-22_01677_Taan.html" \l "TM2014_1677_1" </w:instrText>
      </w:r>
      <w:r w:rsidRPr="00B4052D">
        <w:rPr>
          <w:sz w:val="32"/>
          <w:szCs w:val="32"/>
        </w:rPr>
        <w:fldChar w:fldCharType="separate"/>
      </w:r>
      <w:r w:rsidRPr="00B4052D">
        <w:rPr>
          <w:rStyle w:val="Hyperlink"/>
          <w:sz w:val="32"/>
          <w:szCs w:val="32"/>
        </w:rPr>
        <w:t xml:space="preserve">1 – </w:t>
      </w:r>
      <w:r w:rsidRPr="00B4052D">
        <w:rPr>
          <w:rStyle w:val="Hyperlink"/>
          <w:sz w:val="32"/>
          <w:szCs w:val="32"/>
          <w:rtl/>
        </w:rPr>
        <w:t>ان لمحكمة الموضوع استخلاص الخطأ الموجب للمسئولية وتقدير توافر الضرر وعلاقة السببية بين الخطأ والضرر بغير معقب ما دام استخلاصها سائغا</w:t>
      </w:r>
      <w:r w:rsidRPr="00B4052D">
        <w:rPr>
          <w:rStyle w:val="Hyperlink"/>
          <w:sz w:val="32"/>
          <w:szCs w:val="32"/>
        </w:rPr>
        <w:t>.</w:t>
      </w:r>
      <w:r w:rsidRPr="00B4052D">
        <w:rPr>
          <w:sz w:val="32"/>
          <w:szCs w:val="32"/>
        </w:rPr>
        <w:fldChar w:fldCharType="end"/>
      </w:r>
    </w:p>
    <w:bookmarkStart w:id="4" w:name="Anchor39"/>
    <w:bookmarkEnd w:id="4"/>
    <w:p w:rsidR="00B4052D" w:rsidRPr="00B4052D" w:rsidRDefault="00B4052D" w:rsidP="00B4052D">
      <w:pPr>
        <w:rPr>
          <w:sz w:val="32"/>
          <w:szCs w:val="32"/>
        </w:rPr>
      </w:pPr>
      <w:r w:rsidRPr="00B4052D">
        <w:rPr>
          <w:sz w:val="32"/>
          <w:szCs w:val="32"/>
        </w:rPr>
        <w:fldChar w:fldCharType="begin"/>
      </w:r>
      <w:r w:rsidRPr="00B4052D">
        <w:rPr>
          <w:sz w:val="32"/>
          <w:szCs w:val="32"/>
        </w:rPr>
        <w:instrText xml:space="preserve"> HYPERLINK "http://www.law.gov.kw/KWT_CC-Ar/00_2014/00_%D8%A7%D9%84%D8%AF%D8%A7%D8%A6%D8%B1%D8%A9%20%D8%A7%D9%84%D8%AA%D8%AC%D8%A7%D8%B1%D9%8A%D8%A9/KWT-CC-Ar_2014-04-22_01677_Taan.html" \l "TM2014_1677_2" </w:instrText>
      </w:r>
      <w:r w:rsidRPr="00B4052D">
        <w:rPr>
          <w:sz w:val="32"/>
          <w:szCs w:val="32"/>
        </w:rPr>
        <w:fldChar w:fldCharType="separate"/>
      </w:r>
      <w:r w:rsidRPr="00B4052D">
        <w:rPr>
          <w:rStyle w:val="Hyperlink"/>
          <w:sz w:val="32"/>
          <w:szCs w:val="32"/>
        </w:rPr>
        <w:t xml:space="preserve">2 – </w:t>
      </w:r>
      <w:r w:rsidRPr="00B4052D">
        <w:rPr>
          <w:rStyle w:val="Hyperlink"/>
          <w:sz w:val="32"/>
          <w:szCs w:val="32"/>
          <w:rtl/>
        </w:rPr>
        <w:t>ان مهمة المحكمة في الدعوى المرفوعة بالتعويض المؤقت تقتصر على العرض للمسئولية بما يثبتها ولدين التعويض بما يرسيه على غير معين المقدار فهي لا تحدد الضرر في مداه وعناصره</w:t>
      </w:r>
      <w:r w:rsidRPr="00B4052D">
        <w:rPr>
          <w:rStyle w:val="Hyperlink"/>
          <w:sz w:val="32"/>
          <w:szCs w:val="32"/>
        </w:rPr>
        <w:t>.</w:t>
      </w:r>
      <w:r w:rsidRPr="00B4052D">
        <w:rPr>
          <w:sz w:val="32"/>
          <w:szCs w:val="32"/>
        </w:rPr>
        <w:fldChar w:fldCharType="end"/>
      </w:r>
    </w:p>
    <w:bookmarkStart w:id="5" w:name="Anchor56"/>
    <w:bookmarkEnd w:id="5"/>
    <w:p w:rsidR="00B4052D" w:rsidRPr="00B4052D" w:rsidRDefault="00B4052D" w:rsidP="00B4052D">
      <w:pPr>
        <w:rPr>
          <w:sz w:val="32"/>
          <w:szCs w:val="32"/>
        </w:rPr>
      </w:pPr>
      <w:r w:rsidRPr="00B4052D">
        <w:rPr>
          <w:sz w:val="32"/>
          <w:szCs w:val="32"/>
        </w:rPr>
        <w:fldChar w:fldCharType="begin"/>
      </w:r>
      <w:r w:rsidRPr="00B4052D">
        <w:rPr>
          <w:sz w:val="32"/>
          <w:szCs w:val="32"/>
        </w:rPr>
        <w:instrText xml:space="preserve"> HYPERLINK "http://www.law.gov.kw/KWT_CC-Ar/00_2014/00_%D8%A7%D9%84%D8%AF%D8%A7%D8%A6%D8%B1%D8%A9%20%D8%A7%D9%84%D8%AA%D8%AC%D8%A7%D8%B1%D9%8A%D8%A9/KWT-CC-Ar_2014-04-22_01677_Taan.html" \l "TM2014_1677_3" </w:instrText>
      </w:r>
      <w:r w:rsidRPr="00B4052D">
        <w:rPr>
          <w:sz w:val="32"/>
          <w:szCs w:val="32"/>
        </w:rPr>
        <w:fldChar w:fldCharType="separate"/>
      </w:r>
      <w:r w:rsidRPr="00B4052D">
        <w:rPr>
          <w:rStyle w:val="Hyperlink"/>
          <w:sz w:val="32"/>
          <w:szCs w:val="32"/>
        </w:rPr>
        <w:t xml:space="preserve">3 – </w:t>
      </w:r>
      <w:r w:rsidRPr="00B4052D">
        <w:rPr>
          <w:rStyle w:val="Hyperlink"/>
          <w:sz w:val="32"/>
          <w:szCs w:val="32"/>
          <w:rtl/>
        </w:rPr>
        <w:t>ان الحكم المطعون فيه قد خلص بالاستناد الى تقرير لجنة الخبراء الى ان المطعون ضده قام بالتزامه تجاه الطاعنة وهي من أخلت بالتزامها بعدم سداد أي أتعاب إليه بعد اعادة تخصيصه قطعة الأرض استنادا الى التفويض الصادر منها وتكون ملزمة بالتعويض مؤقتا إليه</w:t>
      </w:r>
      <w:r w:rsidRPr="00B4052D">
        <w:rPr>
          <w:rStyle w:val="Hyperlink"/>
          <w:sz w:val="32"/>
          <w:szCs w:val="32"/>
        </w:rPr>
        <w:t>.</w:t>
      </w:r>
      <w:r w:rsidRPr="00B4052D">
        <w:rPr>
          <w:sz w:val="32"/>
          <w:szCs w:val="32"/>
        </w:rPr>
        <w:fldChar w:fldCharType="end"/>
      </w:r>
      <w:r w:rsidRPr="00B4052D">
        <w:rPr>
          <w:sz w:val="32"/>
          <w:szCs w:val="32"/>
        </w:rPr>
        <w:br/>
      </w:r>
      <w:r w:rsidRPr="00B4052D">
        <w:rPr>
          <w:sz w:val="32"/>
          <w:szCs w:val="32"/>
        </w:rPr>
        <w:br/>
      </w:r>
      <w:r w:rsidRPr="00B4052D">
        <w:rPr>
          <w:sz w:val="32"/>
          <w:szCs w:val="32"/>
          <w:u w:val="single"/>
          <w:rtl/>
        </w:rPr>
        <w:t>ملاحظة</w:t>
      </w:r>
      <w:r w:rsidRPr="00B4052D">
        <w:rPr>
          <w:sz w:val="32"/>
          <w:szCs w:val="32"/>
          <w:u w:val="single"/>
        </w:rPr>
        <w:t xml:space="preserve"> :</w:t>
      </w:r>
      <w:r w:rsidRPr="00B4052D">
        <w:rPr>
          <w:sz w:val="32"/>
          <w:szCs w:val="32"/>
        </w:rPr>
        <w:br/>
      </w:r>
      <w:r w:rsidRPr="00B4052D">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B4052D" w:rsidRPr="00B4052D" w:rsidRDefault="00B4052D" w:rsidP="00B4052D">
      <w:pPr>
        <w:rPr>
          <w:sz w:val="32"/>
          <w:szCs w:val="32"/>
        </w:rPr>
      </w:pPr>
      <w:bookmarkStart w:id="6" w:name="Anchor81"/>
      <w:bookmarkEnd w:id="6"/>
      <w:r w:rsidRPr="00B4052D">
        <w:rPr>
          <w:b/>
          <w:bCs/>
          <w:sz w:val="32"/>
          <w:szCs w:val="32"/>
          <w:rtl/>
        </w:rPr>
        <w:t>المحكمة</w:t>
      </w:r>
    </w:p>
    <w:p w:rsidR="00B4052D" w:rsidRPr="00B4052D" w:rsidRDefault="00B4052D" w:rsidP="00B4052D">
      <w:pPr>
        <w:rPr>
          <w:sz w:val="32"/>
          <w:szCs w:val="32"/>
        </w:rPr>
      </w:pPr>
      <w:bookmarkStart w:id="7" w:name="Anchor82"/>
      <w:bookmarkEnd w:id="7"/>
      <w:r w:rsidRPr="00B4052D">
        <w:rPr>
          <w:sz w:val="32"/>
          <w:szCs w:val="32"/>
          <w:rtl/>
        </w:rPr>
        <w:t>بعد الاطلاع على الأوراق وضم الطعنين والمداولة</w:t>
      </w:r>
      <w:r w:rsidRPr="00B4052D">
        <w:rPr>
          <w:sz w:val="32"/>
          <w:szCs w:val="32"/>
        </w:rPr>
        <w:t>.</w:t>
      </w:r>
    </w:p>
    <w:p w:rsidR="00B4052D" w:rsidRPr="00B4052D" w:rsidRDefault="00B4052D" w:rsidP="00B4052D">
      <w:pPr>
        <w:rPr>
          <w:sz w:val="32"/>
          <w:szCs w:val="32"/>
        </w:rPr>
      </w:pPr>
      <w:bookmarkStart w:id="8" w:name="Anchor87"/>
      <w:bookmarkStart w:id="9" w:name="TM2014_1677_1"/>
      <w:bookmarkEnd w:id="8"/>
      <w:bookmarkEnd w:id="9"/>
      <w:r w:rsidRPr="00B4052D">
        <w:rPr>
          <w:b/>
          <w:bCs/>
          <w:sz w:val="32"/>
          <w:szCs w:val="32"/>
          <w:rtl/>
        </w:rPr>
        <w:t>لما كان من المقرر</w:t>
      </w:r>
      <w:r w:rsidRPr="00B4052D">
        <w:rPr>
          <w:b/>
          <w:bCs/>
          <w:sz w:val="32"/>
          <w:szCs w:val="32"/>
        </w:rPr>
        <w:t xml:space="preserve">- </w:t>
      </w:r>
      <w:r w:rsidRPr="00B4052D">
        <w:rPr>
          <w:b/>
          <w:bCs/>
          <w:sz w:val="32"/>
          <w:szCs w:val="32"/>
          <w:rtl/>
        </w:rPr>
        <w:t>في قضاء هذه المحكمة- أن استخلاص الخطأ الموجب للمسئولية وتقدير توافر الضرر وعلاقة السببية بين الخطأ والضرر هو من مسائل الواقع التي تستقل بها محكمة الموضوع بغير معقب عليها في ذلك مادام استخلاصها سائغاً له أصله الثابت في الأوراق ويؤدي إلى النتيجة التي انتهت إليها</w:t>
      </w:r>
    </w:p>
    <w:p w:rsidR="00B4052D" w:rsidRPr="00B4052D" w:rsidRDefault="00B4052D" w:rsidP="00B4052D">
      <w:pPr>
        <w:rPr>
          <w:sz w:val="32"/>
          <w:szCs w:val="32"/>
        </w:rPr>
      </w:pPr>
      <w:bookmarkStart w:id="10" w:name="Anchor113"/>
      <w:bookmarkStart w:id="11" w:name="TM2014_1677_2"/>
      <w:bookmarkEnd w:id="10"/>
      <w:bookmarkEnd w:id="11"/>
      <w:r w:rsidRPr="00B4052D">
        <w:rPr>
          <w:b/>
          <w:bCs/>
          <w:sz w:val="32"/>
          <w:szCs w:val="32"/>
          <w:rtl/>
        </w:rPr>
        <w:t>كما أن من المقرر أن الدعوى المرفوعة بالتعويض المؤقت تقوم على مجرد ثبوت الضرر فقط دون بيان لعناصره، ومهمة المحكمة في نطاقها تقتصر على العرض للمسئولية بما يثبتها ولدين التعويض بما يرسيه على غير معين المقدار فهي لا تحدد الضرر في مداه وعناصره،</w:t>
      </w:r>
    </w:p>
    <w:p w:rsidR="00B4052D" w:rsidRPr="00B4052D" w:rsidRDefault="00B4052D" w:rsidP="00B4052D">
      <w:pPr>
        <w:rPr>
          <w:sz w:val="32"/>
          <w:szCs w:val="32"/>
        </w:rPr>
      </w:pPr>
      <w:bookmarkStart w:id="12" w:name="Anchor136"/>
      <w:bookmarkStart w:id="13" w:name="TM2014_1677_3"/>
      <w:bookmarkEnd w:id="12"/>
      <w:bookmarkEnd w:id="13"/>
      <w:r w:rsidRPr="00B4052D">
        <w:rPr>
          <w:b/>
          <w:bCs/>
          <w:sz w:val="32"/>
          <w:szCs w:val="32"/>
          <w:rtl/>
        </w:rPr>
        <w:lastRenderedPageBreak/>
        <w:t xml:space="preserve">لما كان ذلك، وكان الحكم المطعون فيه بما له من سلطة تقديرية في فهم واقع الدعوى والأخذ بما يطمئن إليه من أدلتها وتقارير الخبراء المودعة بها قد خلص من تقرير لجنة الخبراء الثلاثية المنتدبة من قبله إلى أن المطعون ضده قد قام بالتزامه تجاه الطاعنة حسب التفويض الصادر منها إليه بتاريخ </w:t>
      </w:r>
      <w:r w:rsidRPr="00B4052D">
        <w:rPr>
          <w:b/>
          <w:bCs/>
          <w:sz w:val="32"/>
          <w:szCs w:val="32"/>
        </w:rPr>
        <w:t xml:space="preserve">2008/3/10 </w:t>
      </w:r>
      <w:r w:rsidRPr="00B4052D">
        <w:rPr>
          <w:b/>
          <w:bCs/>
          <w:sz w:val="32"/>
          <w:szCs w:val="32"/>
          <w:rtl/>
        </w:rPr>
        <w:t>وذلك بصدور قرار إعادة تخصيص قطعة الأرض البالغ مساحتها 22 فدان بمدينة (6</w:t>
      </w:r>
      <w:r w:rsidRPr="00B4052D">
        <w:rPr>
          <w:b/>
          <w:bCs/>
          <w:sz w:val="32"/>
          <w:szCs w:val="32"/>
        </w:rPr>
        <w:t xml:space="preserve">) </w:t>
      </w:r>
      <w:r w:rsidRPr="00B4052D">
        <w:rPr>
          <w:b/>
          <w:bCs/>
          <w:sz w:val="32"/>
          <w:szCs w:val="32"/>
          <w:rtl/>
        </w:rPr>
        <w:t>أكتوبر بجمهورية مصر العربية وأن الطاعنة أخلت بالتزامها قبله بعدم سداد أي أتعاب إليه مما اضر به ولا يغير من ذلك ما تمسكت به الطاعنة من عدم استلام الارض بعد إعادة تخصيصها إذ أن الثابت من التفويض سالف الذكر إلتزام المطعون ضده بالعمل على إعادة تخصيص الأرض أما إجراءات استلامها فأمر يعود إلى الطاعنة ورتب على ذلك قضاءه بالتزامها بأن تؤدي إليه تعويضاً مؤقتاً مقداره 5001 دينار وهو المبلغ محل المطالبة فإنه يكون سائغاً وله معينه من الأوراق بما يكفي لحمله ويؤدي إلى النتيجة التي خلص إليها</w:t>
      </w:r>
      <w:r w:rsidRPr="00B4052D">
        <w:rPr>
          <w:sz w:val="32"/>
          <w:szCs w:val="32"/>
          <w:rtl/>
        </w:rPr>
        <w:t xml:space="preserve"> ويضحى النعي عليه بما ورد بأسباب الطعنين والتي تدور في جملتها حول سلامة هذا الاستخلاص وذلك لمسايرته</w:t>
      </w:r>
      <w:r w:rsidRPr="00B4052D">
        <w:rPr>
          <w:sz w:val="32"/>
          <w:szCs w:val="32"/>
        </w:rPr>
        <w:t xml:space="preserve">..... </w:t>
      </w:r>
      <w:r w:rsidRPr="00B4052D">
        <w:rPr>
          <w:sz w:val="32"/>
          <w:szCs w:val="32"/>
          <w:rtl/>
        </w:rPr>
        <w:t>تقرير لجنة الخبراء وإهدار دفاع الطاعنة وعدم قيام المطعون ضده بدوره المنشود في سحب القرار الصادر بإلغاء التخصيص وحصول ذلك دون تدخل منه وأن غيره هو من باشر إجراءات التظلم لا يعدو أن يكون جدلاً في السلطة التقديرية لمحكمة الموضوع لا تجوز إثارته لدى هذه المحكمة ويكون الطعنان مقامين على غير الأسباب المبينة بالمادة 152/1 مرافعات تقرر المحكمة عدم قبولهما عملاً بالمادة 154/5 من ذات القانون</w:t>
      </w:r>
      <w:r w:rsidRPr="00B4052D">
        <w:rPr>
          <w:sz w:val="32"/>
          <w:szCs w:val="32"/>
        </w:rPr>
        <w:t xml:space="preserve">. </w:t>
      </w:r>
    </w:p>
    <w:p w:rsidR="00B4052D" w:rsidRPr="00B4052D" w:rsidRDefault="00B4052D" w:rsidP="00B4052D">
      <w:pPr>
        <w:rPr>
          <w:sz w:val="32"/>
          <w:szCs w:val="32"/>
        </w:rPr>
      </w:pPr>
      <w:bookmarkStart w:id="14" w:name="Anchor261"/>
      <w:bookmarkEnd w:id="14"/>
      <w:r w:rsidRPr="00B4052D">
        <w:rPr>
          <w:b/>
          <w:bCs/>
          <w:sz w:val="32"/>
          <w:szCs w:val="32"/>
          <w:rtl/>
        </w:rPr>
        <w:t>لذلك</w:t>
      </w:r>
    </w:p>
    <w:p w:rsidR="00B4052D" w:rsidRPr="00B4052D" w:rsidRDefault="00B4052D" w:rsidP="00B4052D">
      <w:pPr>
        <w:rPr>
          <w:sz w:val="32"/>
          <w:szCs w:val="32"/>
        </w:rPr>
      </w:pPr>
      <w:bookmarkStart w:id="15" w:name="Anchor262"/>
      <w:bookmarkEnd w:id="15"/>
      <w:r w:rsidRPr="00B4052D">
        <w:rPr>
          <w:sz w:val="32"/>
          <w:szCs w:val="32"/>
          <w:rtl/>
        </w:rPr>
        <w:t xml:space="preserve">قررت المحكمة </w:t>
      </w:r>
      <w:r w:rsidRPr="00B4052D">
        <w:rPr>
          <w:sz w:val="32"/>
          <w:szCs w:val="32"/>
        </w:rPr>
        <w:t xml:space="preserve">– </w:t>
      </w:r>
      <w:r w:rsidRPr="00B4052D">
        <w:rPr>
          <w:sz w:val="32"/>
          <w:szCs w:val="32"/>
          <w:rtl/>
        </w:rPr>
        <w:t>في غرفة المشورة- عدم قبول الطعنين وألزمت الطاعنة بمصروفاتهما وعشرين ديناراً مقابل أتعاب المحاماة ومصادرة الكفالة في كل منهما</w:t>
      </w:r>
      <w:r w:rsidRPr="00B4052D">
        <w:rPr>
          <w:sz w:val="32"/>
          <w:szCs w:val="32"/>
        </w:rPr>
        <w:t xml:space="preserve">. </w:t>
      </w:r>
    </w:p>
    <w:p w:rsidR="00B4052D" w:rsidRPr="00B4052D" w:rsidRDefault="00B4052D" w:rsidP="00B4052D">
      <w:pPr>
        <w:rPr>
          <w:sz w:val="32"/>
          <w:szCs w:val="32"/>
        </w:rPr>
      </w:pPr>
    </w:p>
    <w:p w:rsidR="00B4052D" w:rsidRPr="00B4052D" w:rsidRDefault="00B4052D" w:rsidP="00B4052D">
      <w:pPr>
        <w:rPr>
          <w:sz w:val="32"/>
          <w:szCs w:val="32"/>
        </w:rPr>
      </w:pPr>
      <w:bookmarkStart w:id="16" w:name="Anchor278"/>
      <w:bookmarkEnd w:id="16"/>
      <w:r w:rsidRPr="00B4052D">
        <w:rPr>
          <w:sz w:val="32"/>
          <w:szCs w:val="32"/>
        </w:rPr>
        <w:t>* * *</w:t>
      </w:r>
    </w:p>
    <w:p w:rsidR="00D32E0F" w:rsidRPr="00B4052D" w:rsidRDefault="00D32E0F">
      <w:pPr>
        <w:rPr>
          <w:sz w:val="32"/>
          <w:szCs w:val="32"/>
        </w:rPr>
      </w:pPr>
    </w:p>
    <w:sectPr w:rsidR="00D32E0F" w:rsidRPr="00B4052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4"/>
    <w:rsid w:val="0003272B"/>
    <w:rsid w:val="004F6304"/>
    <w:rsid w:val="00B4052D"/>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5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5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9502">
      <w:bodyDiv w:val="1"/>
      <w:marLeft w:val="0"/>
      <w:marRight w:val="0"/>
      <w:marTop w:val="0"/>
      <w:marBottom w:val="0"/>
      <w:divBdr>
        <w:top w:val="none" w:sz="0" w:space="0" w:color="auto"/>
        <w:left w:val="none" w:sz="0" w:space="0" w:color="auto"/>
        <w:bottom w:val="none" w:sz="0" w:space="0" w:color="auto"/>
        <w:right w:val="none" w:sz="0" w:space="0" w:color="auto"/>
      </w:divBdr>
      <w:divsChild>
        <w:div w:id="1834879323">
          <w:marLeft w:val="0"/>
          <w:marRight w:val="0"/>
          <w:marTop w:val="0"/>
          <w:marBottom w:val="0"/>
          <w:divBdr>
            <w:top w:val="none" w:sz="0" w:space="0" w:color="auto"/>
            <w:left w:val="none" w:sz="0" w:space="0" w:color="auto"/>
            <w:bottom w:val="none" w:sz="0" w:space="0" w:color="auto"/>
            <w:right w:val="none" w:sz="0" w:space="0" w:color="auto"/>
          </w:divBdr>
        </w:div>
        <w:div w:id="1785029758">
          <w:marLeft w:val="0"/>
          <w:marRight w:val="0"/>
          <w:marTop w:val="0"/>
          <w:marBottom w:val="0"/>
          <w:divBdr>
            <w:top w:val="none" w:sz="0" w:space="0" w:color="auto"/>
            <w:left w:val="none" w:sz="0" w:space="0" w:color="auto"/>
            <w:bottom w:val="none" w:sz="0" w:space="0" w:color="auto"/>
            <w:right w:val="none" w:sz="0" w:space="0" w:color="auto"/>
          </w:divBdr>
        </w:div>
        <w:div w:id="1569462402">
          <w:marLeft w:val="0"/>
          <w:marRight w:val="0"/>
          <w:marTop w:val="0"/>
          <w:marBottom w:val="0"/>
          <w:divBdr>
            <w:top w:val="none" w:sz="0" w:space="0" w:color="auto"/>
            <w:left w:val="none" w:sz="0" w:space="0" w:color="auto"/>
            <w:bottom w:val="none" w:sz="0" w:space="0" w:color="auto"/>
            <w:right w:val="none" w:sz="0" w:space="0" w:color="auto"/>
          </w:divBdr>
        </w:div>
        <w:div w:id="801533807">
          <w:marLeft w:val="0"/>
          <w:marRight w:val="0"/>
          <w:marTop w:val="0"/>
          <w:marBottom w:val="0"/>
          <w:divBdr>
            <w:top w:val="none" w:sz="0" w:space="0" w:color="auto"/>
            <w:left w:val="none" w:sz="0" w:space="0" w:color="auto"/>
            <w:bottom w:val="none" w:sz="0" w:space="0" w:color="auto"/>
            <w:right w:val="none" w:sz="0" w:space="0" w:color="auto"/>
          </w:divBdr>
        </w:div>
        <w:div w:id="561138762">
          <w:marLeft w:val="0"/>
          <w:marRight w:val="0"/>
          <w:marTop w:val="0"/>
          <w:marBottom w:val="0"/>
          <w:divBdr>
            <w:top w:val="none" w:sz="0" w:space="0" w:color="auto"/>
            <w:left w:val="none" w:sz="0" w:space="0" w:color="auto"/>
            <w:bottom w:val="none" w:sz="0" w:space="0" w:color="auto"/>
            <w:right w:val="none" w:sz="0" w:space="0" w:color="auto"/>
          </w:divBdr>
        </w:div>
        <w:div w:id="1228221936">
          <w:marLeft w:val="0"/>
          <w:marRight w:val="0"/>
          <w:marTop w:val="0"/>
          <w:marBottom w:val="0"/>
          <w:divBdr>
            <w:top w:val="none" w:sz="0" w:space="0" w:color="auto"/>
            <w:left w:val="none" w:sz="0" w:space="0" w:color="auto"/>
            <w:bottom w:val="none" w:sz="0" w:space="0" w:color="auto"/>
            <w:right w:val="none" w:sz="0" w:space="0" w:color="auto"/>
          </w:divBdr>
        </w:div>
        <w:div w:id="1898200847">
          <w:marLeft w:val="0"/>
          <w:marRight w:val="0"/>
          <w:marTop w:val="0"/>
          <w:marBottom w:val="0"/>
          <w:divBdr>
            <w:top w:val="none" w:sz="0" w:space="0" w:color="auto"/>
            <w:left w:val="none" w:sz="0" w:space="0" w:color="auto"/>
            <w:bottom w:val="none" w:sz="0" w:space="0" w:color="auto"/>
            <w:right w:val="none" w:sz="0" w:space="0" w:color="auto"/>
          </w:divBdr>
        </w:div>
        <w:div w:id="718093599">
          <w:marLeft w:val="0"/>
          <w:marRight w:val="0"/>
          <w:marTop w:val="0"/>
          <w:marBottom w:val="0"/>
          <w:divBdr>
            <w:top w:val="none" w:sz="0" w:space="0" w:color="auto"/>
            <w:left w:val="none" w:sz="0" w:space="0" w:color="auto"/>
            <w:bottom w:val="none" w:sz="0" w:space="0" w:color="auto"/>
            <w:right w:val="none" w:sz="0" w:space="0" w:color="auto"/>
          </w:divBdr>
        </w:div>
        <w:div w:id="1715890195">
          <w:marLeft w:val="0"/>
          <w:marRight w:val="0"/>
          <w:marTop w:val="0"/>
          <w:marBottom w:val="0"/>
          <w:divBdr>
            <w:top w:val="none" w:sz="0" w:space="0" w:color="auto"/>
            <w:left w:val="none" w:sz="0" w:space="0" w:color="auto"/>
            <w:bottom w:val="none" w:sz="0" w:space="0" w:color="auto"/>
            <w:right w:val="none" w:sz="0" w:space="0" w:color="auto"/>
          </w:divBdr>
        </w:div>
        <w:div w:id="996881273">
          <w:marLeft w:val="0"/>
          <w:marRight w:val="0"/>
          <w:marTop w:val="0"/>
          <w:marBottom w:val="0"/>
          <w:divBdr>
            <w:top w:val="none" w:sz="0" w:space="0" w:color="auto"/>
            <w:left w:val="none" w:sz="0" w:space="0" w:color="auto"/>
            <w:bottom w:val="none" w:sz="0" w:space="0" w:color="auto"/>
            <w:right w:val="none" w:sz="0" w:space="0" w:color="auto"/>
          </w:divBdr>
        </w:div>
        <w:div w:id="1050690037">
          <w:marLeft w:val="0"/>
          <w:marRight w:val="0"/>
          <w:marTop w:val="0"/>
          <w:marBottom w:val="0"/>
          <w:divBdr>
            <w:top w:val="none" w:sz="0" w:space="0" w:color="auto"/>
            <w:left w:val="none" w:sz="0" w:space="0" w:color="auto"/>
            <w:bottom w:val="none" w:sz="0" w:space="0" w:color="auto"/>
            <w:right w:val="none" w:sz="0" w:space="0" w:color="auto"/>
          </w:divBdr>
        </w:div>
        <w:div w:id="2049522299">
          <w:marLeft w:val="0"/>
          <w:marRight w:val="0"/>
          <w:marTop w:val="0"/>
          <w:marBottom w:val="0"/>
          <w:divBdr>
            <w:top w:val="none" w:sz="0" w:space="0" w:color="auto"/>
            <w:left w:val="none" w:sz="0" w:space="0" w:color="auto"/>
            <w:bottom w:val="none" w:sz="0" w:space="0" w:color="auto"/>
            <w:right w:val="none" w:sz="0" w:space="0" w:color="auto"/>
          </w:divBdr>
        </w:div>
        <w:div w:id="165747988">
          <w:marLeft w:val="0"/>
          <w:marRight w:val="0"/>
          <w:marTop w:val="0"/>
          <w:marBottom w:val="0"/>
          <w:divBdr>
            <w:top w:val="none" w:sz="0" w:space="0" w:color="auto"/>
            <w:left w:val="none" w:sz="0" w:space="0" w:color="auto"/>
            <w:bottom w:val="none" w:sz="0" w:space="0" w:color="auto"/>
            <w:right w:val="none" w:sz="0" w:space="0" w:color="auto"/>
          </w:divBdr>
        </w:div>
      </w:divsChild>
    </w:div>
    <w:div w:id="1178697423">
      <w:bodyDiv w:val="1"/>
      <w:marLeft w:val="0"/>
      <w:marRight w:val="0"/>
      <w:marTop w:val="0"/>
      <w:marBottom w:val="0"/>
      <w:divBdr>
        <w:top w:val="none" w:sz="0" w:space="0" w:color="auto"/>
        <w:left w:val="none" w:sz="0" w:space="0" w:color="auto"/>
        <w:bottom w:val="none" w:sz="0" w:space="0" w:color="auto"/>
        <w:right w:val="none" w:sz="0" w:space="0" w:color="auto"/>
      </w:divBdr>
      <w:divsChild>
        <w:div w:id="1366180398">
          <w:marLeft w:val="0"/>
          <w:marRight w:val="0"/>
          <w:marTop w:val="0"/>
          <w:marBottom w:val="0"/>
          <w:divBdr>
            <w:top w:val="none" w:sz="0" w:space="0" w:color="auto"/>
            <w:left w:val="none" w:sz="0" w:space="0" w:color="auto"/>
            <w:bottom w:val="none" w:sz="0" w:space="0" w:color="auto"/>
            <w:right w:val="none" w:sz="0" w:space="0" w:color="auto"/>
          </w:divBdr>
        </w:div>
        <w:div w:id="2028093102">
          <w:marLeft w:val="0"/>
          <w:marRight w:val="0"/>
          <w:marTop w:val="0"/>
          <w:marBottom w:val="0"/>
          <w:divBdr>
            <w:top w:val="none" w:sz="0" w:space="0" w:color="auto"/>
            <w:left w:val="none" w:sz="0" w:space="0" w:color="auto"/>
            <w:bottom w:val="none" w:sz="0" w:space="0" w:color="auto"/>
            <w:right w:val="none" w:sz="0" w:space="0" w:color="auto"/>
          </w:divBdr>
        </w:div>
        <w:div w:id="1062410735">
          <w:marLeft w:val="0"/>
          <w:marRight w:val="0"/>
          <w:marTop w:val="0"/>
          <w:marBottom w:val="0"/>
          <w:divBdr>
            <w:top w:val="none" w:sz="0" w:space="0" w:color="auto"/>
            <w:left w:val="none" w:sz="0" w:space="0" w:color="auto"/>
            <w:bottom w:val="none" w:sz="0" w:space="0" w:color="auto"/>
            <w:right w:val="none" w:sz="0" w:space="0" w:color="auto"/>
          </w:divBdr>
        </w:div>
        <w:div w:id="1921866399">
          <w:marLeft w:val="0"/>
          <w:marRight w:val="0"/>
          <w:marTop w:val="0"/>
          <w:marBottom w:val="0"/>
          <w:divBdr>
            <w:top w:val="none" w:sz="0" w:space="0" w:color="auto"/>
            <w:left w:val="none" w:sz="0" w:space="0" w:color="auto"/>
            <w:bottom w:val="none" w:sz="0" w:space="0" w:color="auto"/>
            <w:right w:val="none" w:sz="0" w:space="0" w:color="auto"/>
          </w:divBdr>
        </w:div>
        <w:div w:id="700127760">
          <w:marLeft w:val="0"/>
          <w:marRight w:val="0"/>
          <w:marTop w:val="0"/>
          <w:marBottom w:val="0"/>
          <w:divBdr>
            <w:top w:val="none" w:sz="0" w:space="0" w:color="auto"/>
            <w:left w:val="none" w:sz="0" w:space="0" w:color="auto"/>
            <w:bottom w:val="none" w:sz="0" w:space="0" w:color="auto"/>
            <w:right w:val="none" w:sz="0" w:space="0" w:color="auto"/>
          </w:divBdr>
        </w:div>
        <w:div w:id="1774013822">
          <w:marLeft w:val="0"/>
          <w:marRight w:val="0"/>
          <w:marTop w:val="0"/>
          <w:marBottom w:val="0"/>
          <w:divBdr>
            <w:top w:val="none" w:sz="0" w:space="0" w:color="auto"/>
            <w:left w:val="none" w:sz="0" w:space="0" w:color="auto"/>
            <w:bottom w:val="none" w:sz="0" w:space="0" w:color="auto"/>
            <w:right w:val="none" w:sz="0" w:space="0" w:color="auto"/>
          </w:divBdr>
        </w:div>
        <w:div w:id="2068915611">
          <w:marLeft w:val="0"/>
          <w:marRight w:val="0"/>
          <w:marTop w:val="0"/>
          <w:marBottom w:val="0"/>
          <w:divBdr>
            <w:top w:val="none" w:sz="0" w:space="0" w:color="auto"/>
            <w:left w:val="none" w:sz="0" w:space="0" w:color="auto"/>
            <w:bottom w:val="none" w:sz="0" w:space="0" w:color="auto"/>
            <w:right w:val="none" w:sz="0" w:space="0" w:color="auto"/>
          </w:divBdr>
        </w:div>
        <w:div w:id="754547905">
          <w:marLeft w:val="0"/>
          <w:marRight w:val="0"/>
          <w:marTop w:val="0"/>
          <w:marBottom w:val="0"/>
          <w:divBdr>
            <w:top w:val="none" w:sz="0" w:space="0" w:color="auto"/>
            <w:left w:val="none" w:sz="0" w:space="0" w:color="auto"/>
            <w:bottom w:val="none" w:sz="0" w:space="0" w:color="auto"/>
            <w:right w:val="none" w:sz="0" w:space="0" w:color="auto"/>
          </w:divBdr>
        </w:div>
        <w:div w:id="579288533">
          <w:marLeft w:val="0"/>
          <w:marRight w:val="0"/>
          <w:marTop w:val="0"/>
          <w:marBottom w:val="0"/>
          <w:divBdr>
            <w:top w:val="none" w:sz="0" w:space="0" w:color="auto"/>
            <w:left w:val="none" w:sz="0" w:space="0" w:color="auto"/>
            <w:bottom w:val="none" w:sz="0" w:space="0" w:color="auto"/>
            <w:right w:val="none" w:sz="0" w:space="0" w:color="auto"/>
          </w:divBdr>
        </w:div>
        <w:div w:id="734863508">
          <w:marLeft w:val="0"/>
          <w:marRight w:val="0"/>
          <w:marTop w:val="0"/>
          <w:marBottom w:val="0"/>
          <w:divBdr>
            <w:top w:val="none" w:sz="0" w:space="0" w:color="auto"/>
            <w:left w:val="none" w:sz="0" w:space="0" w:color="auto"/>
            <w:bottom w:val="none" w:sz="0" w:space="0" w:color="auto"/>
            <w:right w:val="none" w:sz="0" w:space="0" w:color="auto"/>
          </w:divBdr>
        </w:div>
        <w:div w:id="1350176541">
          <w:marLeft w:val="0"/>
          <w:marRight w:val="0"/>
          <w:marTop w:val="0"/>
          <w:marBottom w:val="0"/>
          <w:divBdr>
            <w:top w:val="none" w:sz="0" w:space="0" w:color="auto"/>
            <w:left w:val="none" w:sz="0" w:space="0" w:color="auto"/>
            <w:bottom w:val="none" w:sz="0" w:space="0" w:color="auto"/>
            <w:right w:val="none" w:sz="0" w:space="0" w:color="auto"/>
          </w:divBdr>
        </w:div>
        <w:div w:id="1184710985">
          <w:marLeft w:val="0"/>
          <w:marRight w:val="0"/>
          <w:marTop w:val="0"/>
          <w:marBottom w:val="0"/>
          <w:divBdr>
            <w:top w:val="none" w:sz="0" w:space="0" w:color="auto"/>
            <w:left w:val="none" w:sz="0" w:space="0" w:color="auto"/>
            <w:bottom w:val="none" w:sz="0" w:space="0" w:color="auto"/>
            <w:right w:val="none" w:sz="0" w:space="0" w:color="auto"/>
          </w:divBdr>
        </w:div>
        <w:div w:id="38849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2020-04-26T13:06:00Z</dcterms:created>
  <dcterms:modified xsi:type="dcterms:W3CDTF">2020-04-26T13:07:00Z</dcterms:modified>
</cp:coreProperties>
</file>