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077" w:rsidRPr="000C3077" w:rsidRDefault="000C3077" w:rsidP="000C3077">
      <w:pPr>
        <w:jc w:val="center"/>
        <w:rPr>
          <w:sz w:val="32"/>
          <w:szCs w:val="32"/>
        </w:rPr>
      </w:pPr>
      <w:bookmarkStart w:id="0" w:name="Anchor1"/>
      <w:bookmarkEnd w:id="0"/>
      <w:r w:rsidRPr="000C3077">
        <w:rPr>
          <w:sz w:val="32"/>
          <w:szCs w:val="32"/>
          <w:rtl/>
        </w:rPr>
        <w:t>ال</w:t>
      </w:r>
      <w:bookmarkStart w:id="1" w:name="_GoBack"/>
      <w:bookmarkEnd w:id="1"/>
      <w:r w:rsidRPr="000C3077">
        <w:rPr>
          <w:sz w:val="32"/>
          <w:szCs w:val="32"/>
          <w:rtl/>
        </w:rPr>
        <w:t xml:space="preserve">طعن رقم 1736 لسنة </w:t>
      </w:r>
      <w:r w:rsidRPr="000C3077">
        <w:rPr>
          <w:sz w:val="32"/>
          <w:szCs w:val="32"/>
        </w:rPr>
        <w:t>2012</w:t>
      </w:r>
    </w:p>
    <w:p w:rsidR="000C3077" w:rsidRPr="000C3077" w:rsidRDefault="000C3077" w:rsidP="000C3077">
      <w:pPr>
        <w:rPr>
          <w:sz w:val="32"/>
          <w:szCs w:val="32"/>
        </w:rPr>
      </w:pPr>
      <w:bookmarkStart w:id="2" w:name="Anchor8"/>
      <w:bookmarkEnd w:id="2"/>
      <w:r w:rsidRPr="000C3077">
        <w:rPr>
          <w:sz w:val="32"/>
          <w:szCs w:val="32"/>
          <w:rtl/>
        </w:rPr>
        <w:t>هيئة المحكمة</w:t>
      </w:r>
      <w:r w:rsidRPr="000C3077">
        <w:rPr>
          <w:sz w:val="32"/>
          <w:szCs w:val="32"/>
        </w:rPr>
        <w:t xml:space="preserve">: </w:t>
      </w:r>
      <w:r w:rsidRPr="000C3077">
        <w:rPr>
          <w:sz w:val="32"/>
          <w:szCs w:val="32"/>
          <w:rtl/>
        </w:rPr>
        <w:t xml:space="preserve">برئاسة السيد المستشار عبد الهادي العطار وكيل المحكمة وعضوية السادة المستشارين يحيي مـومية ومحمود عطا ومحمود عبداللطيف وناصر مشالي </w:t>
      </w:r>
    </w:p>
    <w:bookmarkStart w:id="3" w:name="Anchor25"/>
    <w:bookmarkEnd w:id="3"/>
    <w:p w:rsidR="000C3077" w:rsidRPr="000C3077" w:rsidRDefault="000C3077" w:rsidP="000C3077">
      <w:pPr>
        <w:rPr>
          <w:sz w:val="32"/>
          <w:szCs w:val="32"/>
        </w:rPr>
      </w:pPr>
      <w:r w:rsidRPr="000C3077">
        <w:rPr>
          <w:sz w:val="32"/>
          <w:szCs w:val="32"/>
        </w:rPr>
        <w:fldChar w:fldCharType="begin"/>
      </w:r>
      <w:r w:rsidRPr="000C3077">
        <w:rPr>
          <w:sz w:val="32"/>
          <w:szCs w:val="32"/>
        </w:rPr>
        <w:instrText xml:space="preserve"> HYPERLINK "http://www.law.gov.kw/KWT_CC-Ar/00_2014/00_%D8%A7%D9%84%D8%AF%D8%A7%D8%A6%D8%B1%D8%A9%20%D8%A7%D9%84%D8%AA%D8%AC%D8%A7%D8%B1%D9%8A%D8%A9/KWT-CC-Ar_2014-04-23_01736_Taan.html" \l "TM2014_1736_1" </w:instrText>
      </w:r>
      <w:r w:rsidRPr="000C3077">
        <w:rPr>
          <w:sz w:val="32"/>
          <w:szCs w:val="32"/>
        </w:rPr>
        <w:fldChar w:fldCharType="separate"/>
      </w:r>
      <w:r w:rsidRPr="000C3077">
        <w:rPr>
          <w:rStyle w:val="Hyperlink"/>
          <w:sz w:val="32"/>
          <w:szCs w:val="32"/>
        </w:rPr>
        <w:t xml:space="preserve">1 – </w:t>
      </w:r>
      <w:r w:rsidRPr="000C3077">
        <w:rPr>
          <w:rStyle w:val="Hyperlink"/>
          <w:sz w:val="32"/>
          <w:szCs w:val="32"/>
          <w:rtl/>
        </w:rPr>
        <w:t>ان لقاضي الموضوع تحصيل فهم الواقع في الدعوى واستظهار مدلول الاتفاقات التي يدور النزاع بشأنها على ضوء الظروف التي أحاطت بها</w:t>
      </w:r>
      <w:r w:rsidRPr="000C3077">
        <w:rPr>
          <w:rStyle w:val="Hyperlink"/>
          <w:sz w:val="32"/>
          <w:szCs w:val="32"/>
        </w:rPr>
        <w:t>.</w:t>
      </w:r>
      <w:r w:rsidRPr="000C3077">
        <w:rPr>
          <w:sz w:val="32"/>
          <w:szCs w:val="32"/>
        </w:rPr>
        <w:fldChar w:fldCharType="end"/>
      </w:r>
    </w:p>
    <w:bookmarkStart w:id="4" w:name="Anchor41"/>
    <w:bookmarkEnd w:id="4"/>
    <w:p w:rsidR="000C3077" w:rsidRPr="000C3077" w:rsidRDefault="000C3077" w:rsidP="000C3077">
      <w:pPr>
        <w:rPr>
          <w:sz w:val="32"/>
          <w:szCs w:val="32"/>
        </w:rPr>
      </w:pPr>
      <w:r w:rsidRPr="000C3077">
        <w:rPr>
          <w:sz w:val="32"/>
          <w:szCs w:val="32"/>
        </w:rPr>
        <w:fldChar w:fldCharType="begin"/>
      </w:r>
      <w:r w:rsidRPr="000C3077">
        <w:rPr>
          <w:sz w:val="32"/>
          <w:szCs w:val="32"/>
        </w:rPr>
        <w:instrText xml:space="preserve"> HYPERLINK "http://www.law.gov.kw/KWT_CC-Ar/00_2014/00_%D8%A7%D9%84%D8%AF%D8%A7%D8%A6%D8%B1%D8%A9%20%D8%A7%D9%84%D8%AA%D8%AC%D8%A7%D8%B1%D9%8A%D8%A9/KWT-CC-Ar_2014-04-23_01736_Taan.html" \l "TM2014_1736_2" </w:instrText>
      </w:r>
      <w:r w:rsidRPr="000C3077">
        <w:rPr>
          <w:sz w:val="32"/>
          <w:szCs w:val="32"/>
        </w:rPr>
        <w:fldChar w:fldCharType="separate"/>
      </w:r>
      <w:r w:rsidRPr="000C3077">
        <w:rPr>
          <w:rStyle w:val="Hyperlink"/>
          <w:sz w:val="32"/>
          <w:szCs w:val="32"/>
        </w:rPr>
        <w:t xml:space="preserve">2 – </w:t>
      </w:r>
      <w:r w:rsidRPr="000C3077">
        <w:rPr>
          <w:rStyle w:val="Hyperlink"/>
          <w:sz w:val="32"/>
          <w:szCs w:val="32"/>
          <w:rtl/>
        </w:rPr>
        <w:t>ان لمحكمة الموضوع بغير معقب استخلاص توافر الخطأ او عدم توافره الذي يقع عبء اثباته على عاتق المضرور شرط ان تقيم قضاءها على اسباب سائغة</w:t>
      </w:r>
      <w:r w:rsidRPr="000C3077">
        <w:rPr>
          <w:rStyle w:val="Hyperlink"/>
          <w:sz w:val="32"/>
          <w:szCs w:val="32"/>
        </w:rPr>
        <w:t>.</w:t>
      </w:r>
      <w:r w:rsidRPr="000C3077">
        <w:rPr>
          <w:sz w:val="32"/>
          <w:szCs w:val="32"/>
        </w:rPr>
        <w:fldChar w:fldCharType="end"/>
      </w:r>
    </w:p>
    <w:bookmarkStart w:id="5" w:name="Anchor55"/>
    <w:bookmarkEnd w:id="5"/>
    <w:p w:rsidR="000C3077" w:rsidRPr="000C3077" w:rsidRDefault="000C3077" w:rsidP="000C3077">
      <w:pPr>
        <w:rPr>
          <w:sz w:val="32"/>
          <w:szCs w:val="32"/>
        </w:rPr>
      </w:pPr>
      <w:r w:rsidRPr="000C3077">
        <w:rPr>
          <w:sz w:val="32"/>
          <w:szCs w:val="32"/>
        </w:rPr>
        <w:fldChar w:fldCharType="begin"/>
      </w:r>
      <w:r w:rsidRPr="000C3077">
        <w:rPr>
          <w:sz w:val="32"/>
          <w:szCs w:val="32"/>
        </w:rPr>
        <w:instrText xml:space="preserve"> HYPERLINK "http://www.law.gov.kw/KWT_CC-Ar/00_2014/00_%D8%A7%D9%84%D8%AF%D8%A7%D8%A6%D8%B1%D8%A9%20%D8%A7%D9%84%D8%AA%D8%AC%D8%A7%D8%B1%D9%8A%D8%A9/KWT-CC-Ar_2014-04-23_01736_Taan.html" \l "TM2014_1736_3" </w:instrText>
      </w:r>
      <w:r w:rsidRPr="000C3077">
        <w:rPr>
          <w:sz w:val="32"/>
          <w:szCs w:val="32"/>
        </w:rPr>
        <w:fldChar w:fldCharType="separate"/>
      </w:r>
      <w:r w:rsidRPr="000C3077">
        <w:rPr>
          <w:rStyle w:val="Hyperlink"/>
          <w:sz w:val="32"/>
          <w:szCs w:val="32"/>
        </w:rPr>
        <w:t xml:space="preserve">3 – </w:t>
      </w:r>
      <w:r w:rsidRPr="000C3077">
        <w:rPr>
          <w:rStyle w:val="Hyperlink"/>
          <w:sz w:val="32"/>
          <w:szCs w:val="32"/>
          <w:rtl/>
        </w:rPr>
        <w:t>ان لمحكمة الموضوع الحق في اجابة الخصوم بطلب ندب الخبير او رفض الاجابة طالما انها وجدت في اوراق الدعوى وعناصرها ما يكفي لتكوين عقيدتها للفصل فيها بأسباب مقبولة</w:t>
      </w:r>
      <w:r w:rsidRPr="000C3077">
        <w:rPr>
          <w:rStyle w:val="Hyperlink"/>
          <w:sz w:val="32"/>
          <w:szCs w:val="32"/>
        </w:rPr>
        <w:t>.</w:t>
      </w:r>
      <w:r w:rsidRPr="000C3077">
        <w:rPr>
          <w:sz w:val="32"/>
          <w:szCs w:val="32"/>
        </w:rPr>
        <w:fldChar w:fldCharType="end"/>
      </w:r>
    </w:p>
    <w:bookmarkStart w:id="6" w:name="Anchor72"/>
    <w:bookmarkEnd w:id="6"/>
    <w:p w:rsidR="000C3077" w:rsidRPr="000C3077" w:rsidRDefault="000C3077" w:rsidP="000C3077">
      <w:pPr>
        <w:rPr>
          <w:sz w:val="32"/>
          <w:szCs w:val="32"/>
        </w:rPr>
      </w:pPr>
      <w:r w:rsidRPr="000C3077">
        <w:rPr>
          <w:sz w:val="32"/>
          <w:szCs w:val="32"/>
        </w:rPr>
        <w:fldChar w:fldCharType="begin"/>
      </w:r>
      <w:r w:rsidRPr="000C3077">
        <w:rPr>
          <w:sz w:val="32"/>
          <w:szCs w:val="32"/>
        </w:rPr>
        <w:instrText xml:space="preserve"> HYPERLINK "http://www.law.gov.kw/KWT_CC-Ar/00_2014/00_%D8%A7%D9%84%D8%AF%D8%A7%D8%A6%D8%B1%D8%A9%20%D8%A7%D9%84%D8%AA%D8%AC%D8%A7%D8%B1%D9%8A%D8%A9/KWT-CC-Ar_2014-04-23_01736_Taan.html" \l "TM2014_1736_4" </w:instrText>
      </w:r>
      <w:r w:rsidRPr="000C3077">
        <w:rPr>
          <w:sz w:val="32"/>
          <w:szCs w:val="32"/>
        </w:rPr>
        <w:fldChar w:fldCharType="separate"/>
      </w:r>
      <w:r w:rsidRPr="000C3077">
        <w:rPr>
          <w:rStyle w:val="Hyperlink"/>
          <w:sz w:val="32"/>
          <w:szCs w:val="32"/>
        </w:rPr>
        <w:t xml:space="preserve">4 – </w:t>
      </w:r>
      <w:r w:rsidRPr="000C3077">
        <w:rPr>
          <w:rStyle w:val="Hyperlink"/>
          <w:sz w:val="32"/>
          <w:szCs w:val="32"/>
          <w:rtl/>
        </w:rPr>
        <w:t>ان طلب الطاعنة بندب الخبير عديم الجدوى لعدم قيامه بالالتزام المراد بحقه في ذمة المطعون ضدها وخلو المستندات مما يستفاد منه وجود اتفاق بين الطاعنة والمطعون ضدها يرتب التزامات على عاتق الأخيرة يمكن مساءلتها في حالة الاخلال بتلك الالتزامات</w:t>
      </w:r>
      <w:r w:rsidRPr="000C3077">
        <w:rPr>
          <w:rStyle w:val="Hyperlink"/>
          <w:sz w:val="32"/>
          <w:szCs w:val="32"/>
        </w:rPr>
        <w:t>.</w:t>
      </w:r>
      <w:r w:rsidRPr="000C3077">
        <w:rPr>
          <w:sz w:val="32"/>
          <w:szCs w:val="32"/>
        </w:rPr>
        <w:fldChar w:fldCharType="end"/>
      </w:r>
      <w:r w:rsidRPr="000C3077">
        <w:rPr>
          <w:sz w:val="32"/>
          <w:szCs w:val="32"/>
        </w:rPr>
        <w:br/>
      </w:r>
      <w:r w:rsidRPr="000C3077">
        <w:rPr>
          <w:sz w:val="32"/>
          <w:szCs w:val="32"/>
        </w:rPr>
        <w:br/>
      </w:r>
      <w:r w:rsidRPr="000C3077">
        <w:rPr>
          <w:sz w:val="32"/>
          <w:szCs w:val="32"/>
          <w:u w:val="single"/>
          <w:rtl/>
        </w:rPr>
        <w:t>ملاحظة</w:t>
      </w:r>
      <w:r w:rsidRPr="000C3077">
        <w:rPr>
          <w:sz w:val="32"/>
          <w:szCs w:val="32"/>
          <w:u w:val="single"/>
        </w:rPr>
        <w:t xml:space="preserve"> :</w:t>
      </w:r>
      <w:r w:rsidRPr="000C3077">
        <w:rPr>
          <w:sz w:val="32"/>
          <w:szCs w:val="32"/>
        </w:rPr>
        <w:br/>
      </w:r>
      <w:r w:rsidRPr="000C3077">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0C3077" w:rsidRPr="000C3077" w:rsidRDefault="000C3077" w:rsidP="000C3077">
      <w:pPr>
        <w:rPr>
          <w:sz w:val="32"/>
          <w:szCs w:val="32"/>
        </w:rPr>
      </w:pPr>
      <w:bookmarkStart w:id="7" w:name="Anchor97"/>
      <w:bookmarkEnd w:id="7"/>
      <w:r w:rsidRPr="000C3077">
        <w:rPr>
          <w:b/>
          <w:bCs/>
          <w:sz w:val="32"/>
          <w:szCs w:val="32"/>
          <w:rtl/>
        </w:rPr>
        <w:t>المحكمة</w:t>
      </w:r>
    </w:p>
    <w:p w:rsidR="000C3077" w:rsidRPr="000C3077" w:rsidRDefault="000C3077" w:rsidP="000C3077">
      <w:pPr>
        <w:rPr>
          <w:sz w:val="32"/>
          <w:szCs w:val="32"/>
        </w:rPr>
      </w:pPr>
      <w:bookmarkStart w:id="8" w:name="Anchor98"/>
      <w:bookmarkEnd w:id="8"/>
      <w:r w:rsidRPr="000C3077">
        <w:rPr>
          <w:sz w:val="32"/>
          <w:szCs w:val="32"/>
          <w:rtl/>
        </w:rPr>
        <w:t>بعد الاطلاع على الأوراق و سماع المرافعه وبعد المداولة</w:t>
      </w:r>
      <w:r w:rsidRPr="000C3077">
        <w:rPr>
          <w:sz w:val="32"/>
          <w:szCs w:val="32"/>
        </w:rPr>
        <w:t>.</w:t>
      </w:r>
    </w:p>
    <w:p w:rsidR="000C3077" w:rsidRPr="000C3077" w:rsidRDefault="000C3077" w:rsidP="000C3077">
      <w:pPr>
        <w:rPr>
          <w:sz w:val="32"/>
          <w:szCs w:val="32"/>
        </w:rPr>
      </w:pPr>
      <w:bookmarkStart w:id="9" w:name="Anchor105"/>
      <w:bookmarkEnd w:id="9"/>
      <w:r w:rsidRPr="000C3077">
        <w:rPr>
          <w:sz w:val="32"/>
          <w:szCs w:val="32"/>
          <w:rtl/>
        </w:rPr>
        <w:t>حيث إن الطعن استوفي اوضاعه الشكلية</w:t>
      </w:r>
      <w:r w:rsidRPr="000C3077">
        <w:rPr>
          <w:sz w:val="32"/>
          <w:szCs w:val="32"/>
        </w:rPr>
        <w:t xml:space="preserve"> .</w:t>
      </w:r>
    </w:p>
    <w:p w:rsidR="000C3077" w:rsidRPr="000C3077" w:rsidRDefault="000C3077" w:rsidP="000C3077">
      <w:pPr>
        <w:rPr>
          <w:sz w:val="32"/>
          <w:szCs w:val="32"/>
        </w:rPr>
      </w:pPr>
      <w:bookmarkStart w:id="10" w:name="Anchor110"/>
      <w:bookmarkEnd w:id="10"/>
      <w:r w:rsidRPr="000C3077">
        <w:rPr>
          <w:sz w:val="32"/>
          <w:szCs w:val="32"/>
          <w:rtl/>
        </w:rPr>
        <w:t>وحيث إن الوقائع تتحصل</w:t>
      </w:r>
      <w:r w:rsidRPr="000C3077">
        <w:rPr>
          <w:sz w:val="32"/>
          <w:szCs w:val="32"/>
        </w:rPr>
        <w:t xml:space="preserve">– </w:t>
      </w:r>
      <w:r w:rsidRPr="000C3077">
        <w:rPr>
          <w:sz w:val="32"/>
          <w:szCs w:val="32"/>
          <w:rtl/>
        </w:rPr>
        <w:t xml:space="preserve">على ما يبين من الحكم المطعون فيه وسائر الأوراق - في أن الشركة الطاعنة الأولى أقامت الدعوى رقم 5187 لسنة 2011 تجاري كلي على المطعون ضدها بطلب ندب خبير لبيان إخلال الأخيرة بتنفيذ اتفاقها مع الطاعنة على رعاية مؤتمر ومعرض صناعة التأمين التكافلي لدولة الكويت وآثارها في الاقتصاد وما ترتب على ذلك من اضرار مادية وأدبية تمهيداً لالتزامها بما يسفر عنه تقرير الخبير وقالت بياناً لذلك أن المطعون ضدها طلبت منها العمل على </w:t>
      </w:r>
      <w:r w:rsidRPr="000C3077">
        <w:rPr>
          <w:sz w:val="32"/>
          <w:szCs w:val="32"/>
          <w:rtl/>
        </w:rPr>
        <w:lastRenderedPageBreak/>
        <w:t>تصميم المؤتمر والمعرض سالف البيان على أن يكون تحت رعاية الأخيرة وبعد ان قامت الطاعنة بالإعداد للمؤتمر أخطرتها المطعون ضدها بعدم الرغبة في رعايتها له مما ألحق بالطاعنة أضراراً مادية وادبية لذا أقامت الدعوى. قضت المحكمة برفض الدعوى بحالتها فاستأنفت الطاعنة هذا الحكم بالاستئناف رقم 2162 لسنة 2012 تجاري</w:t>
      </w:r>
      <w:r w:rsidRPr="000C3077">
        <w:rPr>
          <w:sz w:val="32"/>
          <w:szCs w:val="32"/>
        </w:rPr>
        <w:t xml:space="preserve">. </w:t>
      </w:r>
      <w:r w:rsidRPr="000C3077">
        <w:rPr>
          <w:sz w:val="32"/>
          <w:szCs w:val="32"/>
          <w:rtl/>
        </w:rPr>
        <w:t>وبتاريخ 2012/9/26 حكمت المحكمة بتأييد الحكم المستأنف</w:t>
      </w:r>
      <w:r w:rsidRPr="000C3077">
        <w:rPr>
          <w:sz w:val="32"/>
          <w:szCs w:val="32"/>
        </w:rPr>
        <w:t xml:space="preserve">. </w:t>
      </w:r>
      <w:r w:rsidRPr="000C3077">
        <w:rPr>
          <w:sz w:val="32"/>
          <w:szCs w:val="32"/>
          <w:rtl/>
        </w:rPr>
        <w:t>طعنت الطاعنة في هذا الحكم بطريق التمييز وأودعت النيابة مذكرة أبدت فيها الرأي برفض الطعن</w:t>
      </w:r>
      <w:r w:rsidRPr="000C3077">
        <w:rPr>
          <w:sz w:val="32"/>
          <w:szCs w:val="32"/>
        </w:rPr>
        <w:t xml:space="preserve">. </w:t>
      </w:r>
      <w:r w:rsidRPr="000C3077">
        <w:rPr>
          <w:sz w:val="32"/>
          <w:szCs w:val="32"/>
          <w:rtl/>
        </w:rPr>
        <w:t>وإذ عرض الطعن على هذه المحكمة في غرفة مشورة حددت جلسة لنظره وفيها التزمت النيابة رأيها</w:t>
      </w:r>
      <w:r w:rsidRPr="000C3077">
        <w:rPr>
          <w:sz w:val="32"/>
          <w:szCs w:val="32"/>
        </w:rPr>
        <w:t>.</w:t>
      </w:r>
    </w:p>
    <w:p w:rsidR="000C3077" w:rsidRPr="000C3077" w:rsidRDefault="000C3077" w:rsidP="000C3077">
      <w:pPr>
        <w:rPr>
          <w:sz w:val="32"/>
          <w:szCs w:val="32"/>
        </w:rPr>
      </w:pPr>
      <w:bookmarkStart w:id="11" w:name="Anchor202"/>
      <w:bookmarkEnd w:id="11"/>
      <w:r w:rsidRPr="000C3077">
        <w:rPr>
          <w:sz w:val="32"/>
          <w:szCs w:val="32"/>
          <w:rtl/>
        </w:rPr>
        <w:t xml:space="preserve">وحيث إن الطعن اقيم على سببين تنعي بهما الطاعنة على الحكم المطعون فيه مخالفة القانون والخطأ في تطبيقه ومخالفة الثابت في الأوراق والقصور في التسبيب والإخلال بحق الدفاع وفي بيان ذلك تقول ان الحكم المطعون فيه أهدر دلالة كتاب المطعون ضدها المؤرخ </w:t>
      </w:r>
      <w:r w:rsidRPr="000C3077">
        <w:rPr>
          <w:sz w:val="32"/>
          <w:szCs w:val="32"/>
        </w:rPr>
        <w:t xml:space="preserve">2011/5/10 </w:t>
      </w:r>
      <w:r w:rsidRPr="000C3077">
        <w:rPr>
          <w:sz w:val="32"/>
          <w:szCs w:val="32"/>
          <w:rtl/>
        </w:rPr>
        <w:t>بعدم الرغبة في رعاية المؤتمر على قيام العلاقة التعاقدية بينهما وكذلك المستندات الدالة على قيامها بالتحضير والاعداد للمؤتمر ولم يجبها لطلب ندب الخبير لبحث إخلال المطعون ضدها بالتزاماتها والاضرار التي لحقت بها نتيجة ذلك بما يعيبه ويستوجب تمييزه</w:t>
      </w:r>
      <w:r w:rsidRPr="000C3077">
        <w:rPr>
          <w:sz w:val="32"/>
          <w:szCs w:val="32"/>
        </w:rPr>
        <w:t>.</w:t>
      </w:r>
    </w:p>
    <w:p w:rsidR="000C3077" w:rsidRPr="000C3077" w:rsidRDefault="000C3077" w:rsidP="000C3077">
      <w:pPr>
        <w:rPr>
          <w:sz w:val="32"/>
          <w:szCs w:val="32"/>
        </w:rPr>
      </w:pPr>
      <w:bookmarkStart w:id="12" w:name="Anchor250"/>
      <w:bookmarkStart w:id="13" w:name="TM2014_1736_1"/>
      <w:bookmarkEnd w:id="12"/>
      <w:bookmarkEnd w:id="13"/>
      <w:r w:rsidRPr="000C3077">
        <w:rPr>
          <w:sz w:val="32"/>
          <w:szCs w:val="32"/>
          <w:rtl/>
        </w:rPr>
        <w:t>وحيث إن هذا النعي مردود ذلك أنه</w:t>
      </w:r>
      <w:r w:rsidRPr="000C3077">
        <w:rPr>
          <w:b/>
          <w:bCs/>
          <w:sz w:val="32"/>
          <w:szCs w:val="32"/>
          <w:rtl/>
        </w:rPr>
        <w:t xml:space="preserve"> من المقرر في قضاء هذه المحكمة أن تحصيل فهم واقع الدعوى من شأن قاض الموضوع ولا رقيب عليه فيما يحصله متى كان استخلاصه مقبولاً معقولاً وله السلطة في استظهار مدلول الاتفاقات التي يدور النزاع بشأنها على ضوء الظروف التي أحاطت بها</w:t>
      </w:r>
      <w:r w:rsidRPr="000C3077">
        <w:rPr>
          <w:b/>
          <w:bCs/>
          <w:sz w:val="32"/>
          <w:szCs w:val="32"/>
        </w:rPr>
        <w:t>.</w:t>
      </w:r>
    </w:p>
    <w:p w:rsidR="000C3077" w:rsidRPr="000C3077" w:rsidRDefault="000C3077" w:rsidP="000C3077">
      <w:pPr>
        <w:rPr>
          <w:sz w:val="32"/>
          <w:szCs w:val="32"/>
        </w:rPr>
      </w:pPr>
      <w:bookmarkStart w:id="14" w:name="Anchor277"/>
      <w:bookmarkStart w:id="15" w:name="TM2014_1736_2"/>
      <w:bookmarkEnd w:id="14"/>
      <w:bookmarkEnd w:id="15"/>
      <w:r w:rsidRPr="000C3077">
        <w:rPr>
          <w:b/>
          <w:bCs/>
          <w:sz w:val="32"/>
          <w:szCs w:val="32"/>
          <w:rtl/>
        </w:rPr>
        <w:t>وأن الخطأ أساس المسئولية وثبوته شرط لازم لقيامها وعبء إثباته يقع على عاتق المضرور واستخلاص توافره أو عدم توافره هو مما يدخل في سلطة محكمة الموضوع بغير معقب متى أقامت قضاءها على اسباب تبرره</w:t>
      </w:r>
      <w:r w:rsidRPr="000C3077">
        <w:rPr>
          <w:b/>
          <w:bCs/>
          <w:sz w:val="32"/>
          <w:szCs w:val="32"/>
        </w:rPr>
        <w:t>.</w:t>
      </w:r>
    </w:p>
    <w:p w:rsidR="000C3077" w:rsidRPr="000C3077" w:rsidRDefault="000C3077" w:rsidP="000C3077">
      <w:pPr>
        <w:rPr>
          <w:sz w:val="32"/>
          <w:szCs w:val="32"/>
        </w:rPr>
      </w:pPr>
      <w:bookmarkStart w:id="16" w:name="Anchor295"/>
      <w:bookmarkStart w:id="17" w:name="TM2014_1736_3"/>
      <w:bookmarkEnd w:id="16"/>
      <w:bookmarkEnd w:id="17"/>
      <w:r w:rsidRPr="000C3077">
        <w:rPr>
          <w:b/>
          <w:bCs/>
          <w:sz w:val="32"/>
          <w:szCs w:val="32"/>
          <w:rtl/>
        </w:rPr>
        <w:t>كما أن ندب الخبير ليس حقاً للخصوم يتحتم إجابتهم وإليه في كل حالة بل أمره متروك لمحكمة الموضوع التي لها أن ترفض الإجابة إليه طالما أنها وجدت في أوراق الدعوى وعناصرها ما يكفي لتكوين عقيدتها للفصل فيها بأسباب مقبولة</w:t>
      </w:r>
      <w:r w:rsidRPr="000C3077">
        <w:rPr>
          <w:b/>
          <w:bCs/>
          <w:sz w:val="32"/>
          <w:szCs w:val="32"/>
        </w:rPr>
        <w:t>.</w:t>
      </w:r>
    </w:p>
    <w:p w:rsidR="000C3077" w:rsidRPr="000C3077" w:rsidRDefault="000C3077" w:rsidP="000C3077">
      <w:pPr>
        <w:rPr>
          <w:sz w:val="32"/>
          <w:szCs w:val="32"/>
        </w:rPr>
      </w:pPr>
      <w:bookmarkStart w:id="18" w:name="Anchor315"/>
      <w:bookmarkStart w:id="19" w:name="TM2014_1736_4"/>
      <w:bookmarkEnd w:id="18"/>
      <w:bookmarkEnd w:id="19"/>
      <w:r w:rsidRPr="000C3077">
        <w:rPr>
          <w:b/>
          <w:bCs/>
          <w:sz w:val="32"/>
          <w:szCs w:val="32"/>
          <w:rtl/>
        </w:rPr>
        <w:t xml:space="preserve">لما كان ذلك. وكانت الطاعنة قد حددت طلباتها في الدعوى بندب خبير لبيان إخلال المطعون ضدها باتفاقها معها على تصميم مؤتمر ومعرض صناعة التأمين التكافلي في الكويت وآثارها في الاقتصاد وبرعاية الأخيرة وكان الثابت من المستندات التي قدمتها الطاعنة أمام محكمة أول درجة أنها وجهت خطاب للمطعون ضدها ولشركات أخرى بشان المؤتمر سالف البيان وكان يبين من تلك الخطابات ان الطاعنة قد مايزت فيها بين الدعوة للمشاركة في المؤتمر كما هو ثابت في الخطابات التي وجهتها للمطعون ضدها وبين الدعوة للرعاية والمساهمة المالية التي حددتها بمبلغ </w:t>
      </w:r>
      <w:r w:rsidRPr="000C3077">
        <w:rPr>
          <w:b/>
          <w:bCs/>
          <w:sz w:val="32"/>
          <w:szCs w:val="32"/>
        </w:rPr>
        <w:t xml:space="preserve">2000 </w:t>
      </w:r>
      <w:r w:rsidRPr="000C3077">
        <w:rPr>
          <w:b/>
          <w:bCs/>
          <w:sz w:val="32"/>
          <w:szCs w:val="32"/>
          <w:rtl/>
        </w:rPr>
        <w:t>دينار ومشمول تلك الرعاية من تغطية إعلامية وجناح في المعرض كما هو الحال في الخطابات التي وجهتها للشركات الأخرى فضلاً عن خطابها لوزير الصناعة والتجارة بطلب الرعاية الرسمية للمؤتمر وقد خلت تلك المستندات مما يستفاد منه وجود اتفاق بين الطاعنة والمطعون ضدها يرتب التزامات على عاتق الأخيرة يمكن مساءلتها في حالة الإخلال بتلك الالتزامات</w:t>
      </w:r>
      <w:r w:rsidRPr="000C3077">
        <w:rPr>
          <w:b/>
          <w:bCs/>
          <w:sz w:val="32"/>
          <w:szCs w:val="32"/>
        </w:rPr>
        <w:t xml:space="preserve">. </w:t>
      </w:r>
      <w:r w:rsidRPr="000C3077">
        <w:rPr>
          <w:b/>
          <w:bCs/>
          <w:sz w:val="32"/>
          <w:szCs w:val="32"/>
          <w:rtl/>
        </w:rPr>
        <w:t xml:space="preserve">وكان خطاب المطعون ضدها المؤرخ 2011/5/10 والذي تمسكت الطاعنة بدلالته على مثل هذا </w:t>
      </w:r>
      <w:r w:rsidRPr="000C3077">
        <w:rPr>
          <w:b/>
          <w:bCs/>
          <w:sz w:val="32"/>
          <w:szCs w:val="32"/>
        </w:rPr>
        <w:t>-</w:t>
      </w:r>
      <w:r w:rsidRPr="000C3077">
        <w:rPr>
          <w:b/>
          <w:bCs/>
          <w:sz w:val="32"/>
          <w:szCs w:val="32"/>
          <w:rtl/>
        </w:rPr>
        <w:t>الاتفاق لا يفيد بوجوده</w:t>
      </w:r>
      <w:r w:rsidRPr="000C3077">
        <w:rPr>
          <w:b/>
          <w:bCs/>
          <w:sz w:val="32"/>
          <w:szCs w:val="32"/>
        </w:rPr>
        <w:t xml:space="preserve">- </w:t>
      </w:r>
      <w:r w:rsidRPr="000C3077">
        <w:rPr>
          <w:b/>
          <w:bCs/>
          <w:sz w:val="32"/>
          <w:szCs w:val="32"/>
          <w:rtl/>
        </w:rPr>
        <w:t>في ضوء ما سلف بيانه- إذ لا يعدو أن يكون رداً من المطعون ضدها على دعوة الطاعنة لها بالمشاركة في المؤتمر والمعرض الأمر الذي يكون معه إجابة الطاعنة لطلبها بندب الخبير عديم الجدوى لعدم قيام الالتزام المراد بحثه في ذمة المطعون ضدها أصلاً</w:t>
      </w:r>
      <w:r w:rsidRPr="000C3077">
        <w:rPr>
          <w:b/>
          <w:bCs/>
          <w:sz w:val="32"/>
          <w:szCs w:val="32"/>
        </w:rPr>
        <w:t>.</w:t>
      </w:r>
      <w:r w:rsidRPr="000C3077">
        <w:rPr>
          <w:sz w:val="32"/>
          <w:szCs w:val="32"/>
        </w:rPr>
        <w:t xml:space="preserve"> </w:t>
      </w:r>
      <w:r w:rsidRPr="000C3077">
        <w:rPr>
          <w:sz w:val="32"/>
          <w:szCs w:val="32"/>
          <w:rtl/>
        </w:rPr>
        <w:t>وإذ كان ما تقدم وكان الحكم المطعون فيه قد التزم هذا النظر وفق ما ساقه من اسباب مكملة ومؤيدة لحكم أول درجة برفض الدعوى وكانت تلك السباب سائغة ولها اصل ثابت بالأوراق وتدخل في نطاق السلطة التقديرية للمحكمة الموضوع في فهم واقع الدعوى واستظهار مدلول المحررات والاتفاقات فإن ما أوردته الطاعنة بسببي الطعن يضحى على غير أساس</w:t>
      </w:r>
      <w:r w:rsidRPr="000C3077">
        <w:rPr>
          <w:sz w:val="32"/>
          <w:szCs w:val="32"/>
        </w:rPr>
        <w:t>.</w:t>
      </w:r>
    </w:p>
    <w:p w:rsidR="000C3077" w:rsidRPr="000C3077" w:rsidRDefault="000C3077" w:rsidP="000C3077">
      <w:pPr>
        <w:rPr>
          <w:sz w:val="32"/>
          <w:szCs w:val="32"/>
        </w:rPr>
      </w:pPr>
      <w:bookmarkStart w:id="20" w:name="Anchor457"/>
      <w:bookmarkEnd w:id="20"/>
      <w:r w:rsidRPr="000C3077">
        <w:rPr>
          <w:sz w:val="32"/>
          <w:szCs w:val="32"/>
          <w:rtl/>
        </w:rPr>
        <w:t>ولما تقدم فإنه يتعين رفض الطعن</w:t>
      </w:r>
      <w:r w:rsidRPr="000C3077">
        <w:rPr>
          <w:sz w:val="32"/>
          <w:szCs w:val="32"/>
        </w:rPr>
        <w:t xml:space="preserve">. </w:t>
      </w:r>
    </w:p>
    <w:p w:rsidR="000C3077" w:rsidRPr="000C3077" w:rsidRDefault="000C3077" w:rsidP="000C3077">
      <w:pPr>
        <w:rPr>
          <w:sz w:val="32"/>
          <w:szCs w:val="32"/>
        </w:rPr>
      </w:pPr>
      <w:bookmarkStart w:id="21" w:name="Anchor461"/>
      <w:bookmarkEnd w:id="21"/>
      <w:r w:rsidRPr="000C3077">
        <w:rPr>
          <w:sz w:val="32"/>
          <w:szCs w:val="32"/>
          <w:rtl/>
        </w:rPr>
        <w:t>فلهذه الأسباب</w:t>
      </w:r>
    </w:p>
    <w:p w:rsidR="000C3077" w:rsidRPr="000C3077" w:rsidRDefault="000C3077" w:rsidP="000C3077">
      <w:pPr>
        <w:rPr>
          <w:sz w:val="32"/>
          <w:szCs w:val="32"/>
        </w:rPr>
      </w:pPr>
      <w:bookmarkStart w:id="22" w:name="Anchor463"/>
      <w:bookmarkEnd w:id="22"/>
      <w:r w:rsidRPr="000C3077">
        <w:rPr>
          <w:sz w:val="32"/>
          <w:szCs w:val="32"/>
          <w:rtl/>
        </w:rPr>
        <w:t>حكمت المحكمة</w:t>
      </w:r>
      <w:r w:rsidRPr="000C3077">
        <w:rPr>
          <w:sz w:val="32"/>
          <w:szCs w:val="32"/>
        </w:rPr>
        <w:t xml:space="preserve">:- </w:t>
      </w:r>
      <w:r w:rsidRPr="000C3077">
        <w:rPr>
          <w:sz w:val="32"/>
          <w:szCs w:val="32"/>
          <w:rtl/>
        </w:rPr>
        <w:t>بقبول الطعن بالتمييز شكلاً وفي الموضوع برفضه وألزمت الطاعنة بالمصروفات مع مصادرة الكفالة</w:t>
      </w:r>
      <w:r w:rsidRPr="000C3077">
        <w:rPr>
          <w:sz w:val="32"/>
          <w:szCs w:val="32"/>
        </w:rPr>
        <w:t>.</w:t>
      </w:r>
    </w:p>
    <w:p w:rsidR="000C3077" w:rsidRPr="000C3077" w:rsidRDefault="000C3077" w:rsidP="000C3077">
      <w:pPr>
        <w:rPr>
          <w:sz w:val="32"/>
          <w:szCs w:val="32"/>
        </w:rPr>
      </w:pPr>
    </w:p>
    <w:p w:rsidR="000C3077" w:rsidRPr="000C3077" w:rsidRDefault="000C3077" w:rsidP="000C3077">
      <w:pPr>
        <w:rPr>
          <w:sz w:val="32"/>
          <w:szCs w:val="32"/>
        </w:rPr>
      </w:pPr>
      <w:bookmarkStart w:id="23" w:name="Anchor474"/>
      <w:bookmarkEnd w:id="23"/>
      <w:r w:rsidRPr="000C3077">
        <w:rPr>
          <w:sz w:val="32"/>
          <w:szCs w:val="32"/>
        </w:rPr>
        <w:t>* * *</w:t>
      </w:r>
    </w:p>
    <w:p w:rsidR="00D32E0F" w:rsidRPr="000C3077" w:rsidRDefault="00D32E0F">
      <w:pPr>
        <w:rPr>
          <w:sz w:val="32"/>
          <w:szCs w:val="32"/>
        </w:rPr>
      </w:pPr>
    </w:p>
    <w:sectPr w:rsidR="00D32E0F" w:rsidRPr="000C3077"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B38"/>
    <w:rsid w:val="0003272B"/>
    <w:rsid w:val="000C3077"/>
    <w:rsid w:val="00D32E0F"/>
    <w:rsid w:val="00D42B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30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30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032532">
      <w:bodyDiv w:val="1"/>
      <w:marLeft w:val="0"/>
      <w:marRight w:val="0"/>
      <w:marTop w:val="0"/>
      <w:marBottom w:val="0"/>
      <w:divBdr>
        <w:top w:val="none" w:sz="0" w:space="0" w:color="auto"/>
        <w:left w:val="none" w:sz="0" w:space="0" w:color="auto"/>
        <w:bottom w:val="none" w:sz="0" w:space="0" w:color="auto"/>
        <w:right w:val="none" w:sz="0" w:space="0" w:color="auto"/>
      </w:divBdr>
      <w:divsChild>
        <w:div w:id="1283615658">
          <w:marLeft w:val="0"/>
          <w:marRight w:val="0"/>
          <w:marTop w:val="0"/>
          <w:marBottom w:val="0"/>
          <w:divBdr>
            <w:top w:val="none" w:sz="0" w:space="0" w:color="auto"/>
            <w:left w:val="none" w:sz="0" w:space="0" w:color="auto"/>
            <w:bottom w:val="none" w:sz="0" w:space="0" w:color="auto"/>
            <w:right w:val="none" w:sz="0" w:space="0" w:color="auto"/>
          </w:divBdr>
        </w:div>
        <w:div w:id="56393217">
          <w:marLeft w:val="0"/>
          <w:marRight w:val="0"/>
          <w:marTop w:val="0"/>
          <w:marBottom w:val="0"/>
          <w:divBdr>
            <w:top w:val="none" w:sz="0" w:space="0" w:color="auto"/>
            <w:left w:val="none" w:sz="0" w:space="0" w:color="auto"/>
            <w:bottom w:val="none" w:sz="0" w:space="0" w:color="auto"/>
            <w:right w:val="none" w:sz="0" w:space="0" w:color="auto"/>
          </w:divBdr>
        </w:div>
        <w:div w:id="566259796">
          <w:marLeft w:val="0"/>
          <w:marRight w:val="0"/>
          <w:marTop w:val="0"/>
          <w:marBottom w:val="0"/>
          <w:divBdr>
            <w:top w:val="none" w:sz="0" w:space="0" w:color="auto"/>
            <w:left w:val="none" w:sz="0" w:space="0" w:color="auto"/>
            <w:bottom w:val="none" w:sz="0" w:space="0" w:color="auto"/>
            <w:right w:val="none" w:sz="0" w:space="0" w:color="auto"/>
          </w:divBdr>
        </w:div>
        <w:div w:id="1794136347">
          <w:marLeft w:val="0"/>
          <w:marRight w:val="0"/>
          <w:marTop w:val="0"/>
          <w:marBottom w:val="0"/>
          <w:divBdr>
            <w:top w:val="none" w:sz="0" w:space="0" w:color="auto"/>
            <w:left w:val="none" w:sz="0" w:space="0" w:color="auto"/>
            <w:bottom w:val="none" w:sz="0" w:space="0" w:color="auto"/>
            <w:right w:val="none" w:sz="0" w:space="0" w:color="auto"/>
          </w:divBdr>
        </w:div>
        <w:div w:id="237642334">
          <w:marLeft w:val="0"/>
          <w:marRight w:val="0"/>
          <w:marTop w:val="0"/>
          <w:marBottom w:val="0"/>
          <w:divBdr>
            <w:top w:val="none" w:sz="0" w:space="0" w:color="auto"/>
            <w:left w:val="none" w:sz="0" w:space="0" w:color="auto"/>
            <w:bottom w:val="none" w:sz="0" w:space="0" w:color="auto"/>
            <w:right w:val="none" w:sz="0" w:space="0" w:color="auto"/>
          </w:divBdr>
        </w:div>
        <w:div w:id="114905148">
          <w:marLeft w:val="0"/>
          <w:marRight w:val="0"/>
          <w:marTop w:val="0"/>
          <w:marBottom w:val="0"/>
          <w:divBdr>
            <w:top w:val="none" w:sz="0" w:space="0" w:color="auto"/>
            <w:left w:val="none" w:sz="0" w:space="0" w:color="auto"/>
            <w:bottom w:val="none" w:sz="0" w:space="0" w:color="auto"/>
            <w:right w:val="none" w:sz="0" w:space="0" w:color="auto"/>
          </w:divBdr>
        </w:div>
        <w:div w:id="695469351">
          <w:marLeft w:val="0"/>
          <w:marRight w:val="0"/>
          <w:marTop w:val="0"/>
          <w:marBottom w:val="0"/>
          <w:divBdr>
            <w:top w:val="none" w:sz="0" w:space="0" w:color="auto"/>
            <w:left w:val="none" w:sz="0" w:space="0" w:color="auto"/>
            <w:bottom w:val="none" w:sz="0" w:space="0" w:color="auto"/>
            <w:right w:val="none" w:sz="0" w:space="0" w:color="auto"/>
          </w:divBdr>
        </w:div>
        <w:div w:id="1151365604">
          <w:marLeft w:val="0"/>
          <w:marRight w:val="0"/>
          <w:marTop w:val="0"/>
          <w:marBottom w:val="0"/>
          <w:divBdr>
            <w:top w:val="none" w:sz="0" w:space="0" w:color="auto"/>
            <w:left w:val="none" w:sz="0" w:space="0" w:color="auto"/>
            <w:bottom w:val="none" w:sz="0" w:space="0" w:color="auto"/>
            <w:right w:val="none" w:sz="0" w:space="0" w:color="auto"/>
          </w:divBdr>
        </w:div>
        <w:div w:id="1729917658">
          <w:marLeft w:val="0"/>
          <w:marRight w:val="0"/>
          <w:marTop w:val="0"/>
          <w:marBottom w:val="0"/>
          <w:divBdr>
            <w:top w:val="none" w:sz="0" w:space="0" w:color="auto"/>
            <w:left w:val="none" w:sz="0" w:space="0" w:color="auto"/>
            <w:bottom w:val="none" w:sz="0" w:space="0" w:color="auto"/>
            <w:right w:val="none" w:sz="0" w:space="0" w:color="auto"/>
          </w:divBdr>
        </w:div>
        <w:div w:id="838808722">
          <w:marLeft w:val="0"/>
          <w:marRight w:val="0"/>
          <w:marTop w:val="0"/>
          <w:marBottom w:val="0"/>
          <w:divBdr>
            <w:top w:val="none" w:sz="0" w:space="0" w:color="auto"/>
            <w:left w:val="none" w:sz="0" w:space="0" w:color="auto"/>
            <w:bottom w:val="none" w:sz="0" w:space="0" w:color="auto"/>
            <w:right w:val="none" w:sz="0" w:space="0" w:color="auto"/>
          </w:divBdr>
        </w:div>
        <w:div w:id="1295452448">
          <w:marLeft w:val="0"/>
          <w:marRight w:val="0"/>
          <w:marTop w:val="0"/>
          <w:marBottom w:val="0"/>
          <w:divBdr>
            <w:top w:val="none" w:sz="0" w:space="0" w:color="auto"/>
            <w:left w:val="none" w:sz="0" w:space="0" w:color="auto"/>
            <w:bottom w:val="none" w:sz="0" w:space="0" w:color="auto"/>
            <w:right w:val="none" w:sz="0" w:space="0" w:color="auto"/>
          </w:divBdr>
        </w:div>
        <w:div w:id="583799707">
          <w:marLeft w:val="0"/>
          <w:marRight w:val="0"/>
          <w:marTop w:val="0"/>
          <w:marBottom w:val="0"/>
          <w:divBdr>
            <w:top w:val="none" w:sz="0" w:space="0" w:color="auto"/>
            <w:left w:val="none" w:sz="0" w:space="0" w:color="auto"/>
            <w:bottom w:val="none" w:sz="0" w:space="0" w:color="auto"/>
            <w:right w:val="none" w:sz="0" w:space="0" w:color="auto"/>
          </w:divBdr>
        </w:div>
        <w:div w:id="765076732">
          <w:marLeft w:val="0"/>
          <w:marRight w:val="0"/>
          <w:marTop w:val="0"/>
          <w:marBottom w:val="0"/>
          <w:divBdr>
            <w:top w:val="none" w:sz="0" w:space="0" w:color="auto"/>
            <w:left w:val="none" w:sz="0" w:space="0" w:color="auto"/>
            <w:bottom w:val="none" w:sz="0" w:space="0" w:color="auto"/>
            <w:right w:val="none" w:sz="0" w:space="0" w:color="auto"/>
          </w:divBdr>
        </w:div>
        <w:div w:id="2079554190">
          <w:marLeft w:val="0"/>
          <w:marRight w:val="0"/>
          <w:marTop w:val="0"/>
          <w:marBottom w:val="0"/>
          <w:divBdr>
            <w:top w:val="none" w:sz="0" w:space="0" w:color="auto"/>
            <w:left w:val="none" w:sz="0" w:space="0" w:color="auto"/>
            <w:bottom w:val="none" w:sz="0" w:space="0" w:color="auto"/>
            <w:right w:val="none" w:sz="0" w:space="0" w:color="auto"/>
          </w:divBdr>
        </w:div>
        <w:div w:id="1073239199">
          <w:marLeft w:val="0"/>
          <w:marRight w:val="0"/>
          <w:marTop w:val="0"/>
          <w:marBottom w:val="0"/>
          <w:divBdr>
            <w:top w:val="none" w:sz="0" w:space="0" w:color="auto"/>
            <w:left w:val="none" w:sz="0" w:space="0" w:color="auto"/>
            <w:bottom w:val="none" w:sz="0" w:space="0" w:color="auto"/>
            <w:right w:val="none" w:sz="0" w:space="0" w:color="auto"/>
          </w:divBdr>
        </w:div>
        <w:div w:id="1925991948">
          <w:marLeft w:val="0"/>
          <w:marRight w:val="0"/>
          <w:marTop w:val="0"/>
          <w:marBottom w:val="0"/>
          <w:divBdr>
            <w:top w:val="none" w:sz="0" w:space="0" w:color="auto"/>
            <w:left w:val="none" w:sz="0" w:space="0" w:color="auto"/>
            <w:bottom w:val="none" w:sz="0" w:space="0" w:color="auto"/>
            <w:right w:val="none" w:sz="0" w:space="0" w:color="auto"/>
          </w:divBdr>
        </w:div>
        <w:div w:id="819465898">
          <w:marLeft w:val="0"/>
          <w:marRight w:val="0"/>
          <w:marTop w:val="0"/>
          <w:marBottom w:val="0"/>
          <w:divBdr>
            <w:top w:val="none" w:sz="0" w:space="0" w:color="auto"/>
            <w:left w:val="none" w:sz="0" w:space="0" w:color="auto"/>
            <w:bottom w:val="none" w:sz="0" w:space="0" w:color="auto"/>
            <w:right w:val="none" w:sz="0" w:space="0" w:color="auto"/>
          </w:divBdr>
        </w:div>
        <w:div w:id="537159441">
          <w:marLeft w:val="0"/>
          <w:marRight w:val="0"/>
          <w:marTop w:val="0"/>
          <w:marBottom w:val="0"/>
          <w:divBdr>
            <w:top w:val="none" w:sz="0" w:space="0" w:color="auto"/>
            <w:left w:val="none" w:sz="0" w:space="0" w:color="auto"/>
            <w:bottom w:val="none" w:sz="0" w:space="0" w:color="auto"/>
            <w:right w:val="none" w:sz="0" w:space="0" w:color="auto"/>
          </w:divBdr>
        </w:div>
        <w:div w:id="757990089">
          <w:marLeft w:val="0"/>
          <w:marRight w:val="0"/>
          <w:marTop w:val="0"/>
          <w:marBottom w:val="0"/>
          <w:divBdr>
            <w:top w:val="none" w:sz="0" w:space="0" w:color="auto"/>
            <w:left w:val="none" w:sz="0" w:space="0" w:color="auto"/>
            <w:bottom w:val="none" w:sz="0" w:space="0" w:color="auto"/>
            <w:right w:val="none" w:sz="0" w:space="0" w:color="auto"/>
          </w:divBdr>
        </w:div>
      </w:divsChild>
    </w:div>
    <w:div w:id="1975794084">
      <w:bodyDiv w:val="1"/>
      <w:marLeft w:val="0"/>
      <w:marRight w:val="0"/>
      <w:marTop w:val="0"/>
      <w:marBottom w:val="0"/>
      <w:divBdr>
        <w:top w:val="none" w:sz="0" w:space="0" w:color="auto"/>
        <w:left w:val="none" w:sz="0" w:space="0" w:color="auto"/>
        <w:bottom w:val="none" w:sz="0" w:space="0" w:color="auto"/>
        <w:right w:val="none" w:sz="0" w:space="0" w:color="auto"/>
      </w:divBdr>
      <w:divsChild>
        <w:div w:id="1127433326">
          <w:marLeft w:val="0"/>
          <w:marRight w:val="0"/>
          <w:marTop w:val="0"/>
          <w:marBottom w:val="0"/>
          <w:divBdr>
            <w:top w:val="none" w:sz="0" w:space="0" w:color="auto"/>
            <w:left w:val="none" w:sz="0" w:space="0" w:color="auto"/>
            <w:bottom w:val="none" w:sz="0" w:space="0" w:color="auto"/>
            <w:right w:val="none" w:sz="0" w:space="0" w:color="auto"/>
          </w:divBdr>
        </w:div>
        <w:div w:id="1484079838">
          <w:marLeft w:val="0"/>
          <w:marRight w:val="0"/>
          <w:marTop w:val="0"/>
          <w:marBottom w:val="0"/>
          <w:divBdr>
            <w:top w:val="none" w:sz="0" w:space="0" w:color="auto"/>
            <w:left w:val="none" w:sz="0" w:space="0" w:color="auto"/>
            <w:bottom w:val="none" w:sz="0" w:space="0" w:color="auto"/>
            <w:right w:val="none" w:sz="0" w:space="0" w:color="auto"/>
          </w:divBdr>
        </w:div>
        <w:div w:id="1725788588">
          <w:marLeft w:val="0"/>
          <w:marRight w:val="0"/>
          <w:marTop w:val="0"/>
          <w:marBottom w:val="0"/>
          <w:divBdr>
            <w:top w:val="none" w:sz="0" w:space="0" w:color="auto"/>
            <w:left w:val="none" w:sz="0" w:space="0" w:color="auto"/>
            <w:bottom w:val="none" w:sz="0" w:space="0" w:color="auto"/>
            <w:right w:val="none" w:sz="0" w:space="0" w:color="auto"/>
          </w:divBdr>
        </w:div>
        <w:div w:id="2001763964">
          <w:marLeft w:val="0"/>
          <w:marRight w:val="0"/>
          <w:marTop w:val="0"/>
          <w:marBottom w:val="0"/>
          <w:divBdr>
            <w:top w:val="none" w:sz="0" w:space="0" w:color="auto"/>
            <w:left w:val="none" w:sz="0" w:space="0" w:color="auto"/>
            <w:bottom w:val="none" w:sz="0" w:space="0" w:color="auto"/>
            <w:right w:val="none" w:sz="0" w:space="0" w:color="auto"/>
          </w:divBdr>
        </w:div>
        <w:div w:id="2126150173">
          <w:marLeft w:val="0"/>
          <w:marRight w:val="0"/>
          <w:marTop w:val="0"/>
          <w:marBottom w:val="0"/>
          <w:divBdr>
            <w:top w:val="none" w:sz="0" w:space="0" w:color="auto"/>
            <w:left w:val="none" w:sz="0" w:space="0" w:color="auto"/>
            <w:bottom w:val="none" w:sz="0" w:space="0" w:color="auto"/>
            <w:right w:val="none" w:sz="0" w:space="0" w:color="auto"/>
          </w:divBdr>
        </w:div>
        <w:div w:id="1684086720">
          <w:marLeft w:val="0"/>
          <w:marRight w:val="0"/>
          <w:marTop w:val="0"/>
          <w:marBottom w:val="0"/>
          <w:divBdr>
            <w:top w:val="none" w:sz="0" w:space="0" w:color="auto"/>
            <w:left w:val="none" w:sz="0" w:space="0" w:color="auto"/>
            <w:bottom w:val="none" w:sz="0" w:space="0" w:color="auto"/>
            <w:right w:val="none" w:sz="0" w:space="0" w:color="auto"/>
          </w:divBdr>
        </w:div>
        <w:div w:id="160898845">
          <w:marLeft w:val="0"/>
          <w:marRight w:val="0"/>
          <w:marTop w:val="0"/>
          <w:marBottom w:val="0"/>
          <w:divBdr>
            <w:top w:val="none" w:sz="0" w:space="0" w:color="auto"/>
            <w:left w:val="none" w:sz="0" w:space="0" w:color="auto"/>
            <w:bottom w:val="none" w:sz="0" w:space="0" w:color="auto"/>
            <w:right w:val="none" w:sz="0" w:space="0" w:color="auto"/>
          </w:divBdr>
        </w:div>
        <w:div w:id="470095771">
          <w:marLeft w:val="0"/>
          <w:marRight w:val="0"/>
          <w:marTop w:val="0"/>
          <w:marBottom w:val="0"/>
          <w:divBdr>
            <w:top w:val="none" w:sz="0" w:space="0" w:color="auto"/>
            <w:left w:val="none" w:sz="0" w:space="0" w:color="auto"/>
            <w:bottom w:val="none" w:sz="0" w:space="0" w:color="auto"/>
            <w:right w:val="none" w:sz="0" w:space="0" w:color="auto"/>
          </w:divBdr>
        </w:div>
        <w:div w:id="636879851">
          <w:marLeft w:val="0"/>
          <w:marRight w:val="0"/>
          <w:marTop w:val="0"/>
          <w:marBottom w:val="0"/>
          <w:divBdr>
            <w:top w:val="none" w:sz="0" w:space="0" w:color="auto"/>
            <w:left w:val="none" w:sz="0" w:space="0" w:color="auto"/>
            <w:bottom w:val="none" w:sz="0" w:space="0" w:color="auto"/>
            <w:right w:val="none" w:sz="0" w:space="0" w:color="auto"/>
          </w:divBdr>
        </w:div>
        <w:div w:id="1218515209">
          <w:marLeft w:val="0"/>
          <w:marRight w:val="0"/>
          <w:marTop w:val="0"/>
          <w:marBottom w:val="0"/>
          <w:divBdr>
            <w:top w:val="none" w:sz="0" w:space="0" w:color="auto"/>
            <w:left w:val="none" w:sz="0" w:space="0" w:color="auto"/>
            <w:bottom w:val="none" w:sz="0" w:space="0" w:color="auto"/>
            <w:right w:val="none" w:sz="0" w:space="0" w:color="auto"/>
          </w:divBdr>
        </w:div>
        <w:div w:id="25952587">
          <w:marLeft w:val="0"/>
          <w:marRight w:val="0"/>
          <w:marTop w:val="0"/>
          <w:marBottom w:val="0"/>
          <w:divBdr>
            <w:top w:val="none" w:sz="0" w:space="0" w:color="auto"/>
            <w:left w:val="none" w:sz="0" w:space="0" w:color="auto"/>
            <w:bottom w:val="none" w:sz="0" w:space="0" w:color="auto"/>
            <w:right w:val="none" w:sz="0" w:space="0" w:color="auto"/>
          </w:divBdr>
        </w:div>
        <w:div w:id="789083465">
          <w:marLeft w:val="0"/>
          <w:marRight w:val="0"/>
          <w:marTop w:val="0"/>
          <w:marBottom w:val="0"/>
          <w:divBdr>
            <w:top w:val="none" w:sz="0" w:space="0" w:color="auto"/>
            <w:left w:val="none" w:sz="0" w:space="0" w:color="auto"/>
            <w:bottom w:val="none" w:sz="0" w:space="0" w:color="auto"/>
            <w:right w:val="none" w:sz="0" w:space="0" w:color="auto"/>
          </w:divBdr>
        </w:div>
        <w:div w:id="606431318">
          <w:marLeft w:val="0"/>
          <w:marRight w:val="0"/>
          <w:marTop w:val="0"/>
          <w:marBottom w:val="0"/>
          <w:divBdr>
            <w:top w:val="none" w:sz="0" w:space="0" w:color="auto"/>
            <w:left w:val="none" w:sz="0" w:space="0" w:color="auto"/>
            <w:bottom w:val="none" w:sz="0" w:space="0" w:color="auto"/>
            <w:right w:val="none" w:sz="0" w:space="0" w:color="auto"/>
          </w:divBdr>
        </w:div>
        <w:div w:id="1650015744">
          <w:marLeft w:val="0"/>
          <w:marRight w:val="0"/>
          <w:marTop w:val="0"/>
          <w:marBottom w:val="0"/>
          <w:divBdr>
            <w:top w:val="none" w:sz="0" w:space="0" w:color="auto"/>
            <w:left w:val="none" w:sz="0" w:space="0" w:color="auto"/>
            <w:bottom w:val="none" w:sz="0" w:space="0" w:color="auto"/>
            <w:right w:val="none" w:sz="0" w:space="0" w:color="auto"/>
          </w:divBdr>
        </w:div>
        <w:div w:id="626667016">
          <w:marLeft w:val="0"/>
          <w:marRight w:val="0"/>
          <w:marTop w:val="0"/>
          <w:marBottom w:val="0"/>
          <w:divBdr>
            <w:top w:val="none" w:sz="0" w:space="0" w:color="auto"/>
            <w:left w:val="none" w:sz="0" w:space="0" w:color="auto"/>
            <w:bottom w:val="none" w:sz="0" w:space="0" w:color="auto"/>
            <w:right w:val="none" w:sz="0" w:space="0" w:color="auto"/>
          </w:divBdr>
        </w:div>
        <w:div w:id="220556270">
          <w:marLeft w:val="0"/>
          <w:marRight w:val="0"/>
          <w:marTop w:val="0"/>
          <w:marBottom w:val="0"/>
          <w:divBdr>
            <w:top w:val="none" w:sz="0" w:space="0" w:color="auto"/>
            <w:left w:val="none" w:sz="0" w:space="0" w:color="auto"/>
            <w:bottom w:val="none" w:sz="0" w:space="0" w:color="auto"/>
            <w:right w:val="none" w:sz="0" w:space="0" w:color="auto"/>
          </w:divBdr>
        </w:div>
        <w:div w:id="540018896">
          <w:marLeft w:val="0"/>
          <w:marRight w:val="0"/>
          <w:marTop w:val="0"/>
          <w:marBottom w:val="0"/>
          <w:divBdr>
            <w:top w:val="none" w:sz="0" w:space="0" w:color="auto"/>
            <w:left w:val="none" w:sz="0" w:space="0" w:color="auto"/>
            <w:bottom w:val="none" w:sz="0" w:space="0" w:color="auto"/>
            <w:right w:val="none" w:sz="0" w:space="0" w:color="auto"/>
          </w:divBdr>
        </w:div>
        <w:div w:id="229198361">
          <w:marLeft w:val="0"/>
          <w:marRight w:val="0"/>
          <w:marTop w:val="0"/>
          <w:marBottom w:val="0"/>
          <w:divBdr>
            <w:top w:val="none" w:sz="0" w:space="0" w:color="auto"/>
            <w:left w:val="none" w:sz="0" w:space="0" w:color="auto"/>
            <w:bottom w:val="none" w:sz="0" w:space="0" w:color="auto"/>
            <w:right w:val="none" w:sz="0" w:space="0" w:color="auto"/>
          </w:divBdr>
        </w:div>
        <w:div w:id="1121649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854</Words>
  <Characters>4868</Characters>
  <Application>Microsoft Office Word</Application>
  <DocSecurity>0</DocSecurity>
  <Lines>40</Lines>
  <Paragraphs>11</Paragraphs>
  <ScaleCrop>false</ScaleCrop>
  <Company/>
  <LinksUpToDate>false</LinksUpToDate>
  <CharactersWithSpaces>5711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2020-04-26T12:44:00Z</dcterms:created>
  <dcterms:modified xsi:type="dcterms:W3CDTF">2020-04-26T12:45:00Z</dcterms:modified>
</cp:coreProperties>
</file>