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94C" w:rsidRPr="0044094C" w:rsidRDefault="0044094C" w:rsidP="0044094C">
      <w:pPr>
        <w:jc w:val="center"/>
        <w:rPr>
          <w:sz w:val="32"/>
          <w:szCs w:val="32"/>
        </w:rPr>
      </w:pPr>
      <w:bookmarkStart w:id="0" w:name="Anchor1"/>
      <w:bookmarkStart w:id="1" w:name="_Toc129484263"/>
      <w:bookmarkEnd w:id="0"/>
      <w:bookmarkEnd w:id="1"/>
      <w:r w:rsidRPr="0044094C">
        <w:rPr>
          <w:sz w:val="32"/>
          <w:szCs w:val="32"/>
          <w:rtl/>
        </w:rPr>
        <w:t xml:space="preserve">الطعن رقم </w:t>
      </w:r>
      <w:r w:rsidRPr="0044094C">
        <w:rPr>
          <w:sz w:val="32"/>
          <w:szCs w:val="32"/>
        </w:rPr>
        <w:t>18</w:t>
      </w:r>
      <w:bookmarkStart w:id="2" w:name="_GoBack"/>
      <w:bookmarkEnd w:id="2"/>
      <w:r w:rsidRPr="0044094C">
        <w:rPr>
          <w:sz w:val="32"/>
          <w:szCs w:val="32"/>
        </w:rPr>
        <w:t>35/2012</w:t>
      </w:r>
    </w:p>
    <w:p w:rsidR="0044094C" w:rsidRPr="0044094C" w:rsidRDefault="0044094C" w:rsidP="0044094C">
      <w:pPr>
        <w:rPr>
          <w:sz w:val="32"/>
          <w:szCs w:val="32"/>
        </w:rPr>
      </w:pPr>
      <w:bookmarkStart w:id="3" w:name="Anchor7"/>
      <w:bookmarkEnd w:id="3"/>
      <w:r w:rsidRPr="0044094C">
        <w:rPr>
          <w:sz w:val="32"/>
          <w:szCs w:val="32"/>
          <w:rtl/>
        </w:rPr>
        <w:t>هيئة المحكمة</w:t>
      </w:r>
      <w:r w:rsidRPr="0044094C">
        <w:rPr>
          <w:sz w:val="32"/>
          <w:szCs w:val="32"/>
        </w:rPr>
        <w:t xml:space="preserve">: </w:t>
      </w:r>
      <w:r w:rsidRPr="0044094C">
        <w:rPr>
          <w:sz w:val="32"/>
          <w:szCs w:val="32"/>
          <w:rtl/>
        </w:rPr>
        <w:t>برئاسة السيد المستشار خالد المزيني وكيل المحكمة وعضوية السادة المستشارين ممدوح القزاز وصلاح الدين كامل وأمين طموم وأحمد ابو ضيف</w:t>
      </w:r>
    </w:p>
    <w:bookmarkStart w:id="4" w:name="Anchor27"/>
    <w:bookmarkEnd w:id="4"/>
    <w:p w:rsidR="0044094C" w:rsidRPr="0044094C" w:rsidRDefault="0044094C" w:rsidP="0044094C">
      <w:pPr>
        <w:rPr>
          <w:sz w:val="32"/>
          <w:szCs w:val="32"/>
        </w:rPr>
      </w:pPr>
      <w:r w:rsidRPr="0044094C">
        <w:rPr>
          <w:sz w:val="32"/>
          <w:szCs w:val="32"/>
        </w:rPr>
        <w:fldChar w:fldCharType="begin"/>
      </w:r>
      <w:r w:rsidRPr="0044094C">
        <w:rPr>
          <w:sz w:val="32"/>
          <w:szCs w:val="32"/>
        </w:rPr>
        <w:instrText xml:space="preserve"> HYPERLINK "http://www.law.gov.kw/KWT_CC-Ar/00_2014/00_%D8%A7%D9%84%D8%AF%D8%A7%D8%A6%D8%B1%D8%A9%20%D8%A7%D9%84%D8%AA%D8%AC%D8%A7%D8%B1%D9%8A%D8%A9/KWT-CC-Ar_2014-02-20_01835_Taan.html" \l "TM2014_1835_1" </w:instrText>
      </w:r>
      <w:r w:rsidRPr="0044094C">
        <w:rPr>
          <w:sz w:val="32"/>
          <w:szCs w:val="32"/>
        </w:rPr>
        <w:fldChar w:fldCharType="separate"/>
      </w:r>
      <w:r w:rsidRPr="0044094C">
        <w:rPr>
          <w:rStyle w:val="Hyperlink"/>
          <w:sz w:val="32"/>
          <w:szCs w:val="32"/>
        </w:rPr>
        <w:t xml:space="preserve">1- </w:t>
      </w:r>
      <w:r w:rsidRPr="0044094C">
        <w:rPr>
          <w:rStyle w:val="Hyperlink"/>
          <w:sz w:val="32"/>
          <w:szCs w:val="32"/>
          <w:rtl/>
        </w:rPr>
        <w:t>ان اغفال الحكم الفصل في احد الطبات لا يصلح سبباً للطعن في الحكم بطريق التمييز وان للخصوم في هذه الحالة ان يرجعوا الى ذات المحكمة لتدارك ما فاتها الفصل فيه</w:t>
      </w:r>
      <w:r w:rsidRPr="0044094C">
        <w:rPr>
          <w:rStyle w:val="Hyperlink"/>
          <w:sz w:val="32"/>
          <w:szCs w:val="32"/>
        </w:rPr>
        <w:t>.</w:t>
      </w:r>
      <w:r w:rsidRPr="0044094C">
        <w:rPr>
          <w:sz w:val="32"/>
          <w:szCs w:val="32"/>
        </w:rPr>
        <w:fldChar w:fldCharType="end"/>
      </w:r>
      <w:r w:rsidRPr="0044094C">
        <w:rPr>
          <w:sz w:val="32"/>
          <w:szCs w:val="32"/>
        </w:rPr>
        <w:br/>
      </w:r>
      <w:r w:rsidRPr="0044094C">
        <w:rPr>
          <w:sz w:val="32"/>
          <w:szCs w:val="32"/>
        </w:rPr>
        <w:br/>
      </w:r>
      <w:r w:rsidRPr="0044094C">
        <w:rPr>
          <w:sz w:val="32"/>
          <w:szCs w:val="32"/>
          <w:u w:val="single"/>
          <w:rtl/>
        </w:rPr>
        <w:t>ملاحظة</w:t>
      </w:r>
      <w:r w:rsidRPr="0044094C">
        <w:rPr>
          <w:sz w:val="32"/>
          <w:szCs w:val="32"/>
          <w:u w:val="single"/>
        </w:rPr>
        <w:t xml:space="preserve"> :</w:t>
      </w:r>
      <w:r w:rsidRPr="0044094C">
        <w:rPr>
          <w:sz w:val="32"/>
          <w:szCs w:val="32"/>
        </w:rPr>
        <w:br/>
      </w:r>
      <w:r w:rsidRPr="0044094C">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44094C" w:rsidRPr="0044094C" w:rsidRDefault="0044094C" w:rsidP="0044094C">
      <w:pPr>
        <w:rPr>
          <w:sz w:val="32"/>
          <w:szCs w:val="32"/>
        </w:rPr>
      </w:pPr>
      <w:bookmarkStart w:id="5" w:name="Anchor43"/>
      <w:bookmarkEnd w:id="5"/>
      <w:r w:rsidRPr="0044094C">
        <w:rPr>
          <w:b/>
          <w:bCs/>
          <w:sz w:val="32"/>
          <w:szCs w:val="32"/>
          <w:rtl/>
        </w:rPr>
        <w:t>المحكمة</w:t>
      </w:r>
    </w:p>
    <w:p w:rsidR="0044094C" w:rsidRPr="0044094C" w:rsidRDefault="0044094C" w:rsidP="0044094C">
      <w:pPr>
        <w:rPr>
          <w:sz w:val="32"/>
          <w:szCs w:val="32"/>
        </w:rPr>
      </w:pPr>
      <w:bookmarkStart w:id="6" w:name="Anchor44"/>
      <w:bookmarkEnd w:id="6"/>
      <w:r w:rsidRPr="0044094C">
        <w:rPr>
          <w:sz w:val="32"/>
          <w:szCs w:val="32"/>
          <w:rtl/>
        </w:rPr>
        <w:t>بعد الاطلاع على الأوراق، وسماع المرافعة، والمداولة</w:t>
      </w:r>
      <w:r w:rsidRPr="0044094C">
        <w:rPr>
          <w:sz w:val="32"/>
          <w:szCs w:val="32"/>
        </w:rPr>
        <w:t>.</w:t>
      </w:r>
    </w:p>
    <w:p w:rsidR="0044094C" w:rsidRPr="0044094C" w:rsidRDefault="0044094C" w:rsidP="0044094C">
      <w:pPr>
        <w:rPr>
          <w:sz w:val="32"/>
          <w:szCs w:val="32"/>
        </w:rPr>
      </w:pPr>
      <w:bookmarkStart w:id="7" w:name="Anchor50"/>
      <w:bookmarkEnd w:id="7"/>
      <w:r w:rsidRPr="0044094C">
        <w:rPr>
          <w:sz w:val="32"/>
          <w:szCs w:val="32"/>
          <w:rtl/>
        </w:rPr>
        <w:t>حيث إن الطعن استوفى أوضاعه الشكلية</w:t>
      </w:r>
      <w:r w:rsidRPr="0044094C">
        <w:rPr>
          <w:sz w:val="32"/>
          <w:szCs w:val="32"/>
        </w:rPr>
        <w:t>.</w:t>
      </w:r>
    </w:p>
    <w:p w:rsidR="0044094C" w:rsidRPr="0044094C" w:rsidRDefault="0044094C" w:rsidP="0044094C">
      <w:pPr>
        <w:rPr>
          <w:sz w:val="32"/>
          <w:szCs w:val="32"/>
        </w:rPr>
      </w:pPr>
      <w:bookmarkStart w:id="8" w:name="Anchor55"/>
      <w:bookmarkEnd w:id="8"/>
      <w:r w:rsidRPr="0044094C">
        <w:rPr>
          <w:sz w:val="32"/>
          <w:szCs w:val="32"/>
          <w:rtl/>
        </w:rPr>
        <w:t xml:space="preserve">وحيث إن الوقائع </w:t>
      </w:r>
      <w:r w:rsidRPr="0044094C">
        <w:rPr>
          <w:sz w:val="32"/>
          <w:szCs w:val="32"/>
        </w:rPr>
        <w:t xml:space="preserve">– </w:t>
      </w:r>
      <w:r w:rsidRPr="0044094C">
        <w:rPr>
          <w:sz w:val="32"/>
          <w:szCs w:val="32"/>
          <w:rtl/>
        </w:rPr>
        <w:t xml:space="preserve">على ما يبين من الحكم المطعون فيه وسائر الأوراق </w:t>
      </w:r>
      <w:r w:rsidRPr="0044094C">
        <w:rPr>
          <w:sz w:val="32"/>
          <w:szCs w:val="32"/>
        </w:rPr>
        <w:t xml:space="preserve">– </w:t>
      </w:r>
      <w:r w:rsidRPr="0044094C">
        <w:rPr>
          <w:sz w:val="32"/>
          <w:szCs w:val="32"/>
          <w:rtl/>
        </w:rPr>
        <w:t xml:space="preserve">تتحصل في أن الشركة المطعون ضدها أقامت على الشركة الطاعنة الدعوى رقم 1701 لسنة 2011 تجاري كلى بطلب الحكم </w:t>
      </w:r>
      <w:r w:rsidRPr="0044094C">
        <w:rPr>
          <w:sz w:val="32"/>
          <w:szCs w:val="32"/>
        </w:rPr>
        <w:t xml:space="preserve">– </w:t>
      </w:r>
      <w:r w:rsidRPr="0044094C">
        <w:rPr>
          <w:sz w:val="32"/>
          <w:szCs w:val="32"/>
          <w:rtl/>
        </w:rPr>
        <w:t xml:space="preserve">وفق طلباتها الختامية </w:t>
      </w:r>
      <w:r w:rsidRPr="0044094C">
        <w:rPr>
          <w:sz w:val="32"/>
          <w:szCs w:val="32"/>
        </w:rPr>
        <w:t xml:space="preserve">– </w:t>
      </w:r>
      <w:r w:rsidRPr="0044094C">
        <w:rPr>
          <w:sz w:val="32"/>
          <w:szCs w:val="32"/>
          <w:rtl/>
        </w:rPr>
        <w:t xml:space="preserve">بإلزامها بأن تؤدى لها مبلغ </w:t>
      </w:r>
      <w:r w:rsidRPr="0044094C">
        <w:rPr>
          <w:sz w:val="32"/>
          <w:szCs w:val="32"/>
        </w:rPr>
        <w:t xml:space="preserve">13625 </w:t>
      </w:r>
      <w:r w:rsidRPr="0044094C">
        <w:rPr>
          <w:sz w:val="32"/>
          <w:szCs w:val="32"/>
          <w:rtl/>
        </w:rPr>
        <w:t xml:space="preserve">د.ك من تاريخ الإستحقاق مع الفوائد القانونية بواقع </w:t>
      </w:r>
      <w:r w:rsidRPr="0044094C">
        <w:rPr>
          <w:sz w:val="32"/>
          <w:szCs w:val="32"/>
        </w:rPr>
        <w:t>7</w:t>
      </w:r>
      <w:r w:rsidRPr="0044094C">
        <w:rPr>
          <w:rFonts w:ascii="Arial" w:hAnsi="Arial" w:cs="Arial"/>
          <w:sz w:val="32"/>
          <w:szCs w:val="32"/>
        </w:rPr>
        <w:t>٪</w:t>
      </w:r>
      <w:r w:rsidRPr="0044094C">
        <w:rPr>
          <w:sz w:val="32"/>
          <w:szCs w:val="32"/>
          <w:rtl/>
        </w:rPr>
        <w:t>، وقالت في بيان ذلك أنها تعاقدت معها بصفتها مقاولاً من الباطن لتنفيذ أعمال الألمونيوم بمشروع برج سكني، وقد أتمت الأعمال المسندة إليها بالمواصفات المتفق عليها، وقد بلغت القيمة الإجمالية لها مبلغ 33750 د.ك سددت الطاعنة منها جزء وامتنعت عن سداد الباقي رغم انذارها، ومن ثم فقد أقامت الدعوى</w:t>
      </w:r>
      <w:r w:rsidRPr="0044094C">
        <w:rPr>
          <w:sz w:val="32"/>
          <w:szCs w:val="32"/>
        </w:rPr>
        <w:t xml:space="preserve"> . </w:t>
      </w:r>
      <w:r w:rsidRPr="0044094C">
        <w:rPr>
          <w:sz w:val="32"/>
          <w:szCs w:val="32"/>
          <w:rtl/>
        </w:rPr>
        <w:t xml:space="preserve">ندبت المحكمة خبيراً وبعد أن أودع تقريره حكمت بإلزام الطاعنة بأن تؤدي للمطعون ضدها المبلغ المطالب به ورفضت القضاء بالفوائد، استأنفت المطعون ضدها هذا الحكم بالإستئناف رقم 2242 لسنة 2012 تجاري ، كما استأنفته الطاعنة بالإستئناف رقم 2272 لسنة 2012 تجاري، وبتاريخ 18 أكتوبر 2012 قضت المحكمة بإلغاء رفض الحكم القضاء بالفوائد القانونية وبإلزام </w:t>
      </w:r>
      <w:r w:rsidRPr="0044094C">
        <w:rPr>
          <w:sz w:val="32"/>
          <w:szCs w:val="32"/>
        </w:rPr>
        <w:t>"</w:t>
      </w:r>
      <w:r w:rsidRPr="0044094C">
        <w:rPr>
          <w:sz w:val="32"/>
          <w:szCs w:val="32"/>
          <w:rtl/>
        </w:rPr>
        <w:t xml:space="preserve">المستأنف ضدها بأن تؤدي للمستأنفة الفوائد القانونية بواقع </w:t>
      </w:r>
      <w:r w:rsidRPr="0044094C">
        <w:rPr>
          <w:sz w:val="32"/>
          <w:szCs w:val="32"/>
        </w:rPr>
        <w:t>7</w:t>
      </w:r>
      <w:r w:rsidRPr="0044094C">
        <w:rPr>
          <w:rFonts w:ascii="Arial" w:hAnsi="Arial" w:cs="Arial"/>
          <w:sz w:val="32"/>
          <w:szCs w:val="32"/>
        </w:rPr>
        <w:t>٪</w:t>
      </w:r>
      <w:r w:rsidRPr="0044094C">
        <w:rPr>
          <w:sz w:val="32"/>
          <w:szCs w:val="32"/>
        </w:rPr>
        <w:t xml:space="preserve"> </w:t>
      </w:r>
      <w:r w:rsidRPr="0044094C">
        <w:rPr>
          <w:sz w:val="32"/>
          <w:szCs w:val="32"/>
          <w:rtl/>
        </w:rPr>
        <w:t>من تاريخ 16 مارس 2011 وحتى تمام السداد</w:t>
      </w:r>
      <w:r w:rsidRPr="0044094C">
        <w:rPr>
          <w:sz w:val="32"/>
          <w:szCs w:val="32"/>
        </w:rPr>
        <w:t>".</w:t>
      </w:r>
    </w:p>
    <w:p w:rsidR="0044094C" w:rsidRPr="0044094C" w:rsidRDefault="0044094C" w:rsidP="0044094C">
      <w:pPr>
        <w:rPr>
          <w:sz w:val="32"/>
          <w:szCs w:val="32"/>
        </w:rPr>
      </w:pPr>
      <w:bookmarkStart w:id="9" w:name="Anchor153"/>
      <w:bookmarkEnd w:id="9"/>
      <w:r w:rsidRPr="0044094C">
        <w:rPr>
          <w:sz w:val="32"/>
          <w:szCs w:val="32"/>
          <w:rtl/>
        </w:rPr>
        <w:lastRenderedPageBreak/>
        <w:t>طعنت الطاعنة في هذا الحكم بطريق التمييز وقدمت النيابة مذكرة أبدت فيها الرأي بتمييز الحكم المطعون فيه وإذ عرض الطعن على هذه المحكمة في غرفة المشورة حددت جلسة لنظره وفيها إلتزمت النيابة رأيه</w:t>
      </w:r>
      <w:r w:rsidRPr="0044094C">
        <w:rPr>
          <w:sz w:val="32"/>
          <w:szCs w:val="32"/>
        </w:rPr>
        <w:t>.</w:t>
      </w:r>
    </w:p>
    <w:p w:rsidR="0044094C" w:rsidRPr="0044094C" w:rsidRDefault="0044094C" w:rsidP="0044094C">
      <w:pPr>
        <w:rPr>
          <w:sz w:val="32"/>
          <w:szCs w:val="32"/>
        </w:rPr>
      </w:pPr>
      <w:bookmarkStart w:id="10" w:name="Anchor173"/>
      <w:bookmarkEnd w:id="10"/>
      <w:r w:rsidRPr="0044094C">
        <w:rPr>
          <w:sz w:val="32"/>
          <w:szCs w:val="32"/>
          <w:rtl/>
        </w:rPr>
        <w:t xml:space="preserve">وحيث أن الشركة الطاعنة تنعى على الحكم المطعون فيه البطلان والقصور في التسبيب ذلك أنه ولئن أورد بديباجته وجود استئنافين أولهما مقام من الشركة المطعون ضدها برقم 2242 لسنة 2012 تجاري والآخر مقام من الشركة الطاعنة برقم </w:t>
      </w:r>
      <w:r w:rsidRPr="0044094C">
        <w:rPr>
          <w:sz w:val="32"/>
          <w:szCs w:val="32"/>
        </w:rPr>
        <w:t xml:space="preserve">2272 </w:t>
      </w:r>
      <w:r w:rsidRPr="0044094C">
        <w:rPr>
          <w:sz w:val="32"/>
          <w:szCs w:val="32"/>
          <w:rtl/>
        </w:rPr>
        <w:t>لسنة 2012 تجاري إلا أنه لم يقضي بقبول استئنافها شكلاً، كما وأنه لم يعرض في مدوناته لموضوع استئنافها وطلباتها وأوجه دفاعها فيه فإنه يكون معيباً بما يوجب تمييزه</w:t>
      </w:r>
      <w:r w:rsidRPr="0044094C">
        <w:rPr>
          <w:sz w:val="32"/>
          <w:szCs w:val="32"/>
        </w:rPr>
        <w:t>.</w:t>
      </w:r>
    </w:p>
    <w:p w:rsidR="0044094C" w:rsidRPr="0044094C" w:rsidRDefault="0044094C" w:rsidP="0044094C">
      <w:pPr>
        <w:rPr>
          <w:sz w:val="32"/>
          <w:szCs w:val="32"/>
        </w:rPr>
      </w:pPr>
      <w:bookmarkStart w:id="11" w:name="Anchor208"/>
      <w:bookmarkEnd w:id="11"/>
      <w:r w:rsidRPr="0044094C">
        <w:rPr>
          <w:sz w:val="32"/>
          <w:szCs w:val="32"/>
          <w:rtl/>
        </w:rPr>
        <w:t xml:space="preserve">وحيث إن هذا النعي غير مقبول، ذلك أن من المقرر </w:t>
      </w:r>
      <w:r w:rsidRPr="0044094C">
        <w:rPr>
          <w:sz w:val="32"/>
          <w:szCs w:val="32"/>
        </w:rPr>
        <w:t xml:space="preserve">– </w:t>
      </w:r>
      <w:r w:rsidRPr="0044094C">
        <w:rPr>
          <w:sz w:val="32"/>
          <w:szCs w:val="32"/>
          <w:rtl/>
        </w:rPr>
        <w:t xml:space="preserve">في قضاء هذه المحكمة </w:t>
      </w:r>
      <w:r w:rsidRPr="0044094C">
        <w:rPr>
          <w:sz w:val="32"/>
          <w:szCs w:val="32"/>
        </w:rPr>
        <w:t>–</w:t>
      </w:r>
      <w:bookmarkStart w:id="12" w:name="TM2014_1835_1"/>
      <w:bookmarkEnd w:id="12"/>
      <w:r w:rsidRPr="0044094C">
        <w:rPr>
          <w:b/>
          <w:bCs/>
          <w:sz w:val="32"/>
          <w:szCs w:val="32"/>
          <w:rtl/>
        </w:rPr>
        <w:t>أن إغفال الحكم الفصل في أحد الطلبات لا يصلح سبباً للطعن في الحكم بطريق التمييز وأن للخصوم في هذه الحالة أن يرجعوا إلى ذات المحكمة لتدارك ما فاتها الفصل فيه وفقاً لحكم المادة 126 من قانون المرافعات المدنية والتجارية</w:t>
      </w:r>
      <w:r w:rsidRPr="0044094C">
        <w:rPr>
          <w:b/>
          <w:bCs/>
          <w:sz w:val="32"/>
          <w:szCs w:val="32"/>
        </w:rPr>
        <w:t>.</w:t>
      </w:r>
      <w:r w:rsidRPr="0044094C">
        <w:rPr>
          <w:sz w:val="32"/>
          <w:szCs w:val="32"/>
        </w:rPr>
        <w:t xml:space="preserve"> </w:t>
      </w:r>
      <w:r w:rsidRPr="0044094C">
        <w:rPr>
          <w:sz w:val="32"/>
          <w:szCs w:val="32"/>
          <w:rtl/>
        </w:rPr>
        <w:t>لما كان وكان الثابت في الأوراق أن الشركة الطاعنة أقامت على المطعون ضدها الإستئناف رقم 2272 لسنة 2012 تجاري بطلب الحكم أولاً بقبوله شكلاً وفي الموضوع بإلغاء الحكم المستأنف والقضاء مجدداً بإعادة الأوراق لمحكمة أول درجة لبطلان إعلانها ، وأحتياطياً إعادة الدعوى لإدارة الخبراء لتحقيق أعتراضاتها ، ومن قبيل الإحتياط الكلي برفض الدعوى ، وإذ لم يعرض الحكم المطعون فيه لهذا الإستئناف من حيث الشكل أو الموضوع وما أبدته الطاعنة من دفاع ودفوع دون أن يبين من حكمها أنها تدرك حقيقة ما قدم لها وقصر بحثه على الإستئناف رقم 2242 لسنة 2012 المقام من الشركة المطعون ضدها، ومن ثم فإن وسيلة تدارك ما فاتها الفصل فيه عملاً بالمادة 126 من قانون المرافعات الرجوع إلى ذات المحكمة لتدارك ما فاتها الفصل فيه وليس عن طريق الطعن بالتمييز بما يضحى معه الطعن برمته غير مقبول</w:t>
      </w:r>
      <w:r w:rsidRPr="0044094C">
        <w:rPr>
          <w:sz w:val="32"/>
          <w:szCs w:val="32"/>
        </w:rPr>
        <w:t>.</w:t>
      </w:r>
    </w:p>
    <w:p w:rsidR="0044094C" w:rsidRPr="0044094C" w:rsidRDefault="0044094C" w:rsidP="0044094C">
      <w:pPr>
        <w:rPr>
          <w:sz w:val="32"/>
          <w:szCs w:val="32"/>
        </w:rPr>
      </w:pPr>
      <w:bookmarkStart w:id="13" w:name="Anchor305"/>
      <w:bookmarkEnd w:id="13"/>
      <w:r w:rsidRPr="0044094C">
        <w:rPr>
          <w:sz w:val="32"/>
          <w:szCs w:val="32"/>
          <w:rtl/>
        </w:rPr>
        <w:t>لذلك</w:t>
      </w:r>
    </w:p>
    <w:p w:rsidR="0044094C" w:rsidRPr="0044094C" w:rsidRDefault="0044094C" w:rsidP="0044094C">
      <w:pPr>
        <w:rPr>
          <w:sz w:val="32"/>
          <w:szCs w:val="32"/>
        </w:rPr>
      </w:pPr>
      <w:bookmarkStart w:id="14" w:name="Anchor306"/>
      <w:bookmarkEnd w:id="14"/>
      <w:r w:rsidRPr="0044094C">
        <w:rPr>
          <w:sz w:val="32"/>
          <w:szCs w:val="32"/>
          <w:rtl/>
        </w:rPr>
        <w:t>حكمت المحكمة</w:t>
      </w:r>
      <w:r w:rsidRPr="0044094C">
        <w:rPr>
          <w:sz w:val="32"/>
          <w:szCs w:val="32"/>
        </w:rPr>
        <w:t xml:space="preserve">: - </w:t>
      </w:r>
      <w:r w:rsidRPr="0044094C">
        <w:rPr>
          <w:sz w:val="32"/>
          <w:szCs w:val="32"/>
          <w:rtl/>
        </w:rPr>
        <w:t>بقبول الطعن شكلاً، وفي الموضوع بعدم قبوله وألزمت الشركة الطاعنة المصروفات ومبلغ وعشرين ديناراً مقابل أتعاب المحاماة، مع مصادرة الكفالة</w:t>
      </w:r>
      <w:r w:rsidRPr="0044094C">
        <w:rPr>
          <w:sz w:val="32"/>
          <w:szCs w:val="32"/>
        </w:rPr>
        <w:t>.</w:t>
      </w:r>
    </w:p>
    <w:p w:rsidR="0044094C" w:rsidRPr="0044094C" w:rsidRDefault="0044094C" w:rsidP="0044094C">
      <w:pPr>
        <w:rPr>
          <w:sz w:val="32"/>
          <w:szCs w:val="32"/>
        </w:rPr>
      </w:pPr>
    </w:p>
    <w:p w:rsidR="0044094C" w:rsidRPr="0044094C" w:rsidRDefault="0044094C" w:rsidP="0044094C">
      <w:pPr>
        <w:rPr>
          <w:sz w:val="32"/>
          <w:szCs w:val="32"/>
        </w:rPr>
      </w:pPr>
      <w:bookmarkStart w:id="15" w:name="Anchor323"/>
      <w:bookmarkEnd w:id="15"/>
      <w:r w:rsidRPr="0044094C">
        <w:rPr>
          <w:sz w:val="32"/>
          <w:szCs w:val="32"/>
        </w:rPr>
        <w:t>* * *</w:t>
      </w:r>
    </w:p>
    <w:p w:rsidR="00D32E0F" w:rsidRPr="0044094C" w:rsidRDefault="00D32E0F">
      <w:pPr>
        <w:rPr>
          <w:sz w:val="32"/>
          <w:szCs w:val="32"/>
        </w:rPr>
      </w:pPr>
    </w:p>
    <w:sectPr w:rsidR="00D32E0F" w:rsidRPr="0044094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E75"/>
    <w:rsid w:val="0003272B"/>
    <w:rsid w:val="0044094C"/>
    <w:rsid w:val="00D32E0F"/>
    <w:rsid w:val="00F33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9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0058">
      <w:bodyDiv w:val="1"/>
      <w:marLeft w:val="0"/>
      <w:marRight w:val="0"/>
      <w:marTop w:val="0"/>
      <w:marBottom w:val="0"/>
      <w:divBdr>
        <w:top w:val="none" w:sz="0" w:space="0" w:color="auto"/>
        <w:left w:val="none" w:sz="0" w:space="0" w:color="auto"/>
        <w:bottom w:val="none" w:sz="0" w:space="0" w:color="auto"/>
        <w:right w:val="none" w:sz="0" w:space="0" w:color="auto"/>
      </w:divBdr>
      <w:divsChild>
        <w:div w:id="108202496">
          <w:marLeft w:val="0"/>
          <w:marRight w:val="0"/>
          <w:marTop w:val="0"/>
          <w:marBottom w:val="0"/>
          <w:divBdr>
            <w:top w:val="none" w:sz="0" w:space="0" w:color="auto"/>
            <w:left w:val="none" w:sz="0" w:space="0" w:color="auto"/>
            <w:bottom w:val="none" w:sz="0" w:space="0" w:color="auto"/>
            <w:right w:val="none" w:sz="0" w:space="0" w:color="auto"/>
          </w:divBdr>
        </w:div>
        <w:div w:id="683753471">
          <w:marLeft w:val="0"/>
          <w:marRight w:val="0"/>
          <w:marTop w:val="0"/>
          <w:marBottom w:val="0"/>
          <w:divBdr>
            <w:top w:val="none" w:sz="0" w:space="0" w:color="auto"/>
            <w:left w:val="none" w:sz="0" w:space="0" w:color="auto"/>
            <w:bottom w:val="none" w:sz="0" w:space="0" w:color="auto"/>
            <w:right w:val="none" w:sz="0" w:space="0" w:color="auto"/>
          </w:divBdr>
        </w:div>
        <w:div w:id="853769593">
          <w:marLeft w:val="0"/>
          <w:marRight w:val="0"/>
          <w:marTop w:val="0"/>
          <w:marBottom w:val="0"/>
          <w:divBdr>
            <w:top w:val="none" w:sz="0" w:space="0" w:color="auto"/>
            <w:left w:val="none" w:sz="0" w:space="0" w:color="auto"/>
            <w:bottom w:val="none" w:sz="0" w:space="0" w:color="auto"/>
            <w:right w:val="none" w:sz="0" w:space="0" w:color="auto"/>
          </w:divBdr>
        </w:div>
        <w:div w:id="933123567">
          <w:marLeft w:val="0"/>
          <w:marRight w:val="0"/>
          <w:marTop w:val="0"/>
          <w:marBottom w:val="0"/>
          <w:divBdr>
            <w:top w:val="none" w:sz="0" w:space="0" w:color="auto"/>
            <w:left w:val="none" w:sz="0" w:space="0" w:color="auto"/>
            <w:bottom w:val="none" w:sz="0" w:space="0" w:color="auto"/>
            <w:right w:val="none" w:sz="0" w:space="0" w:color="auto"/>
          </w:divBdr>
        </w:div>
        <w:div w:id="1447121252">
          <w:marLeft w:val="0"/>
          <w:marRight w:val="0"/>
          <w:marTop w:val="0"/>
          <w:marBottom w:val="0"/>
          <w:divBdr>
            <w:top w:val="none" w:sz="0" w:space="0" w:color="auto"/>
            <w:left w:val="none" w:sz="0" w:space="0" w:color="auto"/>
            <w:bottom w:val="none" w:sz="0" w:space="0" w:color="auto"/>
            <w:right w:val="none" w:sz="0" w:space="0" w:color="auto"/>
          </w:divBdr>
        </w:div>
        <w:div w:id="222067731">
          <w:marLeft w:val="0"/>
          <w:marRight w:val="0"/>
          <w:marTop w:val="0"/>
          <w:marBottom w:val="0"/>
          <w:divBdr>
            <w:top w:val="none" w:sz="0" w:space="0" w:color="auto"/>
            <w:left w:val="none" w:sz="0" w:space="0" w:color="auto"/>
            <w:bottom w:val="none" w:sz="0" w:space="0" w:color="auto"/>
            <w:right w:val="none" w:sz="0" w:space="0" w:color="auto"/>
          </w:divBdr>
        </w:div>
        <w:div w:id="3484827">
          <w:marLeft w:val="0"/>
          <w:marRight w:val="0"/>
          <w:marTop w:val="0"/>
          <w:marBottom w:val="0"/>
          <w:divBdr>
            <w:top w:val="none" w:sz="0" w:space="0" w:color="auto"/>
            <w:left w:val="none" w:sz="0" w:space="0" w:color="auto"/>
            <w:bottom w:val="none" w:sz="0" w:space="0" w:color="auto"/>
            <w:right w:val="none" w:sz="0" w:space="0" w:color="auto"/>
          </w:divBdr>
        </w:div>
        <w:div w:id="1265184302">
          <w:marLeft w:val="0"/>
          <w:marRight w:val="0"/>
          <w:marTop w:val="0"/>
          <w:marBottom w:val="0"/>
          <w:divBdr>
            <w:top w:val="none" w:sz="0" w:space="0" w:color="auto"/>
            <w:left w:val="none" w:sz="0" w:space="0" w:color="auto"/>
            <w:bottom w:val="none" w:sz="0" w:space="0" w:color="auto"/>
            <w:right w:val="none" w:sz="0" w:space="0" w:color="auto"/>
          </w:divBdr>
        </w:div>
        <w:div w:id="841357804">
          <w:marLeft w:val="0"/>
          <w:marRight w:val="0"/>
          <w:marTop w:val="0"/>
          <w:marBottom w:val="0"/>
          <w:divBdr>
            <w:top w:val="none" w:sz="0" w:space="0" w:color="auto"/>
            <w:left w:val="none" w:sz="0" w:space="0" w:color="auto"/>
            <w:bottom w:val="none" w:sz="0" w:space="0" w:color="auto"/>
            <w:right w:val="none" w:sz="0" w:space="0" w:color="auto"/>
          </w:divBdr>
        </w:div>
        <w:div w:id="202837261">
          <w:marLeft w:val="0"/>
          <w:marRight w:val="0"/>
          <w:marTop w:val="0"/>
          <w:marBottom w:val="0"/>
          <w:divBdr>
            <w:top w:val="none" w:sz="0" w:space="0" w:color="auto"/>
            <w:left w:val="none" w:sz="0" w:space="0" w:color="auto"/>
            <w:bottom w:val="none" w:sz="0" w:space="0" w:color="auto"/>
            <w:right w:val="none" w:sz="0" w:space="0" w:color="auto"/>
          </w:divBdr>
        </w:div>
        <w:div w:id="682972749">
          <w:marLeft w:val="0"/>
          <w:marRight w:val="0"/>
          <w:marTop w:val="0"/>
          <w:marBottom w:val="0"/>
          <w:divBdr>
            <w:top w:val="none" w:sz="0" w:space="0" w:color="auto"/>
            <w:left w:val="none" w:sz="0" w:space="0" w:color="auto"/>
            <w:bottom w:val="none" w:sz="0" w:space="0" w:color="auto"/>
            <w:right w:val="none" w:sz="0" w:space="0" w:color="auto"/>
          </w:divBdr>
        </w:div>
        <w:div w:id="2045247511">
          <w:marLeft w:val="0"/>
          <w:marRight w:val="0"/>
          <w:marTop w:val="0"/>
          <w:marBottom w:val="0"/>
          <w:divBdr>
            <w:top w:val="none" w:sz="0" w:space="0" w:color="auto"/>
            <w:left w:val="none" w:sz="0" w:space="0" w:color="auto"/>
            <w:bottom w:val="none" w:sz="0" w:space="0" w:color="auto"/>
            <w:right w:val="none" w:sz="0" w:space="0" w:color="auto"/>
          </w:divBdr>
        </w:div>
        <w:div w:id="1978879001">
          <w:marLeft w:val="0"/>
          <w:marRight w:val="0"/>
          <w:marTop w:val="0"/>
          <w:marBottom w:val="0"/>
          <w:divBdr>
            <w:top w:val="none" w:sz="0" w:space="0" w:color="auto"/>
            <w:left w:val="none" w:sz="0" w:space="0" w:color="auto"/>
            <w:bottom w:val="none" w:sz="0" w:space="0" w:color="auto"/>
            <w:right w:val="none" w:sz="0" w:space="0" w:color="auto"/>
          </w:divBdr>
        </w:div>
      </w:divsChild>
    </w:div>
    <w:div w:id="1102603998">
      <w:bodyDiv w:val="1"/>
      <w:marLeft w:val="0"/>
      <w:marRight w:val="0"/>
      <w:marTop w:val="0"/>
      <w:marBottom w:val="0"/>
      <w:divBdr>
        <w:top w:val="none" w:sz="0" w:space="0" w:color="auto"/>
        <w:left w:val="none" w:sz="0" w:space="0" w:color="auto"/>
        <w:bottom w:val="none" w:sz="0" w:space="0" w:color="auto"/>
        <w:right w:val="none" w:sz="0" w:space="0" w:color="auto"/>
      </w:divBdr>
      <w:divsChild>
        <w:div w:id="1959599288">
          <w:marLeft w:val="0"/>
          <w:marRight w:val="0"/>
          <w:marTop w:val="0"/>
          <w:marBottom w:val="0"/>
          <w:divBdr>
            <w:top w:val="none" w:sz="0" w:space="0" w:color="auto"/>
            <w:left w:val="none" w:sz="0" w:space="0" w:color="auto"/>
            <w:bottom w:val="none" w:sz="0" w:space="0" w:color="auto"/>
            <w:right w:val="none" w:sz="0" w:space="0" w:color="auto"/>
          </w:divBdr>
        </w:div>
        <w:div w:id="1469931554">
          <w:marLeft w:val="0"/>
          <w:marRight w:val="0"/>
          <w:marTop w:val="0"/>
          <w:marBottom w:val="0"/>
          <w:divBdr>
            <w:top w:val="none" w:sz="0" w:space="0" w:color="auto"/>
            <w:left w:val="none" w:sz="0" w:space="0" w:color="auto"/>
            <w:bottom w:val="none" w:sz="0" w:space="0" w:color="auto"/>
            <w:right w:val="none" w:sz="0" w:space="0" w:color="auto"/>
          </w:divBdr>
        </w:div>
        <w:div w:id="336658790">
          <w:marLeft w:val="0"/>
          <w:marRight w:val="0"/>
          <w:marTop w:val="0"/>
          <w:marBottom w:val="0"/>
          <w:divBdr>
            <w:top w:val="none" w:sz="0" w:space="0" w:color="auto"/>
            <w:left w:val="none" w:sz="0" w:space="0" w:color="auto"/>
            <w:bottom w:val="none" w:sz="0" w:space="0" w:color="auto"/>
            <w:right w:val="none" w:sz="0" w:space="0" w:color="auto"/>
          </w:divBdr>
        </w:div>
        <w:div w:id="1057557094">
          <w:marLeft w:val="0"/>
          <w:marRight w:val="0"/>
          <w:marTop w:val="0"/>
          <w:marBottom w:val="0"/>
          <w:divBdr>
            <w:top w:val="none" w:sz="0" w:space="0" w:color="auto"/>
            <w:left w:val="none" w:sz="0" w:space="0" w:color="auto"/>
            <w:bottom w:val="none" w:sz="0" w:space="0" w:color="auto"/>
            <w:right w:val="none" w:sz="0" w:space="0" w:color="auto"/>
          </w:divBdr>
        </w:div>
        <w:div w:id="1987511013">
          <w:marLeft w:val="0"/>
          <w:marRight w:val="0"/>
          <w:marTop w:val="0"/>
          <w:marBottom w:val="0"/>
          <w:divBdr>
            <w:top w:val="none" w:sz="0" w:space="0" w:color="auto"/>
            <w:left w:val="none" w:sz="0" w:space="0" w:color="auto"/>
            <w:bottom w:val="none" w:sz="0" w:space="0" w:color="auto"/>
            <w:right w:val="none" w:sz="0" w:space="0" w:color="auto"/>
          </w:divBdr>
        </w:div>
        <w:div w:id="162821354">
          <w:marLeft w:val="0"/>
          <w:marRight w:val="0"/>
          <w:marTop w:val="0"/>
          <w:marBottom w:val="0"/>
          <w:divBdr>
            <w:top w:val="none" w:sz="0" w:space="0" w:color="auto"/>
            <w:left w:val="none" w:sz="0" w:space="0" w:color="auto"/>
            <w:bottom w:val="none" w:sz="0" w:space="0" w:color="auto"/>
            <w:right w:val="none" w:sz="0" w:space="0" w:color="auto"/>
          </w:divBdr>
        </w:div>
        <w:div w:id="1503154951">
          <w:marLeft w:val="0"/>
          <w:marRight w:val="0"/>
          <w:marTop w:val="0"/>
          <w:marBottom w:val="0"/>
          <w:divBdr>
            <w:top w:val="none" w:sz="0" w:space="0" w:color="auto"/>
            <w:left w:val="none" w:sz="0" w:space="0" w:color="auto"/>
            <w:bottom w:val="none" w:sz="0" w:space="0" w:color="auto"/>
            <w:right w:val="none" w:sz="0" w:space="0" w:color="auto"/>
          </w:divBdr>
        </w:div>
        <w:div w:id="1302809086">
          <w:marLeft w:val="0"/>
          <w:marRight w:val="0"/>
          <w:marTop w:val="0"/>
          <w:marBottom w:val="0"/>
          <w:divBdr>
            <w:top w:val="none" w:sz="0" w:space="0" w:color="auto"/>
            <w:left w:val="none" w:sz="0" w:space="0" w:color="auto"/>
            <w:bottom w:val="none" w:sz="0" w:space="0" w:color="auto"/>
            <w:right w:val="none" w:sz="0" w:space="0" w:color="auto"/>
          </w:divBdr>
        </w:div>
        <w:div w:id="1181312695">
          <w:marLeft w:val="0"/>
          <w:marRight w:val="0"/>
          <w:marTop w:val="0"/>
          <w:marBottom w:val="0"/>
          <w:divBdr>
            <w:top w:val="none" w:sz="0" w:space="0" w:color="auto"/>
            <w:left w:val="none" w:sz="0" w:space="0" w:color="auto"/>
            <w:bottom w:val="none" w:sz="0" w:space="0" w:color="auto"/>
            <w:right w:val="none" w:sz="0" w:space="0" w:color="auto"/>
          </w:divBdr>
        </w:div>
        <w:div w:id="491408905">
          <w:marLeft w:val="0"/>
          <w:marRight w:val="0"/>
          <w:marTop w:val="0"/>
          <w:marBottom w:val="0"/>
          <w:divBdr>
            <w:top w:val="none" w:sz="0" w:space="0" w:color="auto"/>
            <w:left w:val="none" w:sz="0" w:space="0" w:color="auto"/>
            <w:bottom w:val="none" w:sz="0" w:space="0" w:color="auto"/>
            <w:right w:val="none" w:sz="0" w:space="0" w:color="auto"/>
          </w:divBdr>
        </w:div>
        <w:div w:id="1601912412">
          <w:marLeft w:val="0"/>
          <w:marRight w:val="0"/>
          <w:marTop w:val="0"/>
          <w:marBottom w:val="0"/>
          <w:divBdr>
            <w:top w:val="none" w:sz="0" w:space="0" w:color="auto"/>
            <w:left w:val="none" w:sz="0" w:space="0" w:color="auto"/>
            <w:bottom w:val="none" w:sz="0" w:space="0" w:color="auto"/>
            <w:right w:val="none" w:sz="0" w:space="0" w:color="auto"/>
          </w:divBdr>
        </w:div>
        <w:div w:id="1811090115">
          <w:marLeft w:val="0"/>
          <w:marRight w:val="0"/>
          <w:marTop w:val="0"/>
          <w:marBottom w:val="0"/>
          <w:divBdr>
            <w:top w:val="none" w:sz="0" w:space="0" w:color="auto"/>
            <w:left w:val="none" w:sz="0" w:space="0" w:color="auto"/>
            <w:bottom w:val="none" w:sz="0" w:space="0" w:color="auto"/>
            <w:right w:val="none" w:sz="0" w:space="0" w:color="auto"/>
          </w:divBdr>
        </w:div>
        <w:div w:id="1709142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2020-04-26T13:16:00Z</dcterms:created>
  <dcterms:modified xsi:type="dcterms:W3CDTF">2020-04-26T13:17:00Z</dcterms:modified>
</cp:coreProperties>
</file>