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D5" w:rsidRPr="001B0BD5" w:rsidRDefault="001B0BD5" w:rsidP="001B0BD5">
      <w:pPr>
        <w:jc w:val="center"/>
        <w:rPr>
          <w:sz w:val="32"/>
          <w:szCs w:val="32"/>
        </w:rPr>
      </w:pPr>
      <w:bookmarkStart w:id="0" w:name="Anchor1"/>
      <w:bookmarkEnd w:id="0"/>
      <w:r w:rsidRPr="001B0BD5">
        <w:rPr>
          <w:sz w:val="32"/>
          <w:szCs w:val="32"/>
          <w:rtl/>
        </w:rPr>
        <w:t xml:space="preserve">الطعن رقم </w:t>
      </w:r>
      <w:r w:rsidRPr="001B0BD5">
        <w:rPr>
          <w:sz w:val="32"/>
          <w:szCs w:val="32"/>
        </w:rPr>
        <w:t>1933</w:t>
      </w:r>
      <w:bookmarkStart w:id="1" w:name="_GoBack"/>
      <w:bookmarkEnd w:id="1"/>
      <w:r w:rsidRPr="001B0BD5">
        <w:rPr>
          <w:sz w:val="32"/>
          <w:szCs w:val="32"/>
        </w:rPr>
        <w:t>/2012</w:t>
      </w:r>
    </w:p>
    <w:p w:rsidR="001B0BD5" w:rsidRPr="001B0BD5" w:rsidRDefault="001B0BD5" w:rsidP="001B0BD5">
      <w:pPr>
        <w:rPr>
          <w:sz w:val="32"/>
          <w:szCs w:val="32"/>
        </w:rPr>
      </w:pPr>
      <w:bookmarkStart w:id="2" w:name="Anchor7"/>
      <w:bookmarkEnd w:id="2"/>
      <w:r w:rsidRPr="001B0BD5">
        <w:rPr>
          <w:sz w:val="32"/>
          <w:szCs w:val="32"/>
          <w:rtl/>
        </w:rPr>
        <w:t>هيئة المحكمة</w:t>
      </w:r>
      <w:r w:rsidRPr="001B0BD5">
        <w:rPr>
          <w:sz w:val="32"/>
          <w:szCs w:val="32"/>
        </w:rPr>
        <w:t xml:space="preserve">: </w:t>
      </w:r>
      <w:r w:rsidRPr="001B0BD5">
        <w:rPr>
          <w:sz w:val="32"/>
          <w:szCs w:val="32"/>
          <w:rtl/>
        </w:rPr>
        <w:t>برئاسة السيد المستشـــار أنـــور علي بورســلي وكـــيل المحكـــــمة وعضوية السادة المستشارين زيـاد محــمد غـــازي وأحمـد علي راجـــح ومجــدي محـمد جـــاد وفيصــل حرحــــش</w:t>
      </w:r>
    </w:p>
    <w:bookmarkStart w:id="3" w:name="Anchor26"/>
    <w:bookmarkEnd w:id="3"/>
    <w:p w:rsidR="001B0BD5" w:rsidRPr="001B0BD5" w:rsidRDefault="001B0BD5" w:rsidP="001B0BD5">
      <w:pPr>
        <w:rPr>
          <w:sz w:val="32"/>
          <w:szCs w:val="32"/>
        </w:rPr>
      </w:pPr>
      <w:r w:rsidRPr="001B0BD5">
        <w:rPr>
          <w:sz w:val="32"/>
          <w:szCs w:val="32"/>
        </w:rPr>
        <w:fldChar w:fldCharType="begin"/>
      </w:r>
      <w:r w:rsidRPr="001B0BD5">
        <w:rPr>
          <w:sz w:val="32"/>
          <w:szCs w:val="32"/>
        </w:rPr>
        <w:instrText xml:space="preserve"> HYPERLINK "http://www.law.gov.kw/KWT_CC-Ar/00_2014/00_%D8%A7%D9%84%D8%AF%D8%A7%D8%A6%D8%B1%D8%A9%20%D8%A7%D9%84%D8%AA%D8%AC%D8%A7%D8%B1%D9%8A%D8%A9/KWT-CC-Ar_2014-02-18_01933_Taan.html" \l "TM2014_1933_1" </w:instrText>
      </w:r>
      <w:r w:rsidRPr="001B0BD5">
        <w:rPr>
          <w:sz w:val="32"/>
          <w:szCs w:val="32"/>
        </w:rPr>
        <w:fldChar w:fldCharType="separate"/>
      </w:r>
      <w:r w:rsidRPr="001B0BD5">
        <w:rPr>
          <w:rStyle w:val="Hyperlink"/>
          <w:sz w:val="32"/>
          <w:szCs w:val="32"/>
        </w:rPr>
        <w:t xml:space="preserve">1- </w:t>
      </w:r>
      <w:r w:rsidRPr="001B0BD5">
        <w:rPr>
          <w:rStyle w:val="Hyperlink"/>
          <w:sz w:val="32"/>
          <w:szCs w:val="32"/>
          <w:rtl/>
        </w:rPr>
        <w:t>ان تقدير قيام الإنحراف في استعمال حق الإلتجاء الى القضاء او نفيه واستخلاص الخطأ الموجب للمسؤولية وغثبات توافر سوء القصد هو مما يدخل في السلطة التقديرية لمحكمة الموضوع شريطة ان يكون استخلاصها سائغاً</w:t>
      </w:r>
      <w:r w:rsidRPr="001B0BD5">
        <w:rPr>
          <w:rStyle w:val="Hyperlink"/>
          <w:sz w:val="32"/>
          <w:szCs w:val="32"/>
        </w:rPr>
        <w:t>.</w:t>
      </w:r>
      <w:r w:rsidRPr="001B0BD5">
        <w:rPr>
          <w:sz w:val="32"/>
          <w:szCs w:val="32"/>
        </w:rPr>
        <w:fldChar w:fldCharType="end"/>
      </w:r>
      <w:r w:rsidRPr="001B0BD5">
        <w:rPr>
          <w:sz w:val="32"/>
          <w:szCs w:val="32"/>
        </w:rPr>
        <w:br/>
      </w:r>
      <w:r w:rsidRPr="001B0BD5">
        <w:rPr>
          <w:sz w:val="32"/>
          <w:szCs w:val="32"/>
        </w:rPr>
        <w:br/>
      </w:r>
      <w:r w:rsidRPr="001B0BD5">
        <w:rPr>
          <w:sz w:val="32"/>
          <w:szCs w:val="32"/>
          <w:u w:val="single"/>
          <w:rtl/>
        </w:rPr>
        <w:t>ملاحظة</w:t>
      </w:r>
      <w:r w:rsidRPr="001B0BD5">
        <w:rPr>
          <w:sz w:val="32"/>
          <w:szCs w:val="32"/>
          <w:u w:val="single"/>
        </w:rPr>
        <w:t xml:space="preserve"> :</w:t>
      </w:r>
      <w:r w:rsidRPr="001B0BD5">
        <w:rPr>
          <w:sz w:val="32"/>
          <w:szCs w:val="32"/>
        </w:rPr>
        <w:br/>
      </w:r>
      <w:r w:rsidRPr="001B0BD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B0BD5" w:rsidRPr="001B0BD5" w:rsidRDefault="001B0BD5" w:rsidP="001B0BD5">
      <w:pPr>
        <w:rPr>
          <w:sz w:val="32"/>
          <w:szCs w:val="32"/>
        </w:rPr>
      </w:pPr>
      <w:bookmarkStart w:id="4" w:name="Anchor47"/>
      <w:bookmarkEnd w:id="4"/>
      <w:r w:rsidRPr="001B0BD5">
        <w:rPr>
          <w:b/>
          <w:bCs/>
          <w:sz w:val="32"/>
          <w:szCs w:val="32"/>
          <w:rtl/>
        </w:rPr>
        <w:t>المحكمة</w:t>
      </w:r>
    </w:p>
    <w:p w:rsidR="001B0BD5" w:rsidRPr="001B0BD5" w:rsidRDefault="001B0BD5" w:rsidP="001B0BD5">
      <w:pPr>
        <w:rPr>
          <w:sz w:val="32"/>
          <w:szCs w:val="32"/>
        </w:rPr>
      </w:pPr>
      <w:bookmarkStart w:id="5" w:name="Anchor48"/>
      <w:bookmarkEnd w:id="5"/>
      <w:r w:rsidRPr="001B0BD5">
        <w:rPr>
          <w:sz w:val="32"/>
          <w:szCs w:val="32"/>
          <w:rtl/>
        </w:rPr>
        <w:t>بعد الاطلاع على الأوراق والمداولة</w:t>
      </w:r>
      <w:r w:rsidRPr="001B0BD5">
        <w:rPr>
          <w:sz w:val="32"/>
          <w:szCs w:val="32"/>
        </w:rPr>
        <w:t>.</w:t>
      </w:r>
    </w:p>
    <w:p w:rsidR="001B0BD5" w:rsidRPr="001B0BD5" w:rsidRDefault="001B0BD5" w:rsidP="001B0BD5">
      <w:pPr>
        <w:rPr>
          <w:sz w:val="32"/>
          <w:szCs w:val="32"/>
        </w:rPr>
      </w:pPr>
      <w:bookmarkStart w:id="6" w:name="Anchor52"/>
      <w:bookmarkEnd w:id="6"/>
      <w:r w:rsidRPr="001B0BD5">
        <w:rPr>
          <w:sz w:val="32"/>
          <w:szCs w:val="32"/>
          <w:rtl/>
        </w:rPr>
        <w:t>لما كان المقرر- فى قضاء هذه المحكمة</w:t>
      </w:r>
      <w:r w:rsidRPr="001B0BD5">
        <w:rPr>
          <w:sz w:val="32"/>
          <w:szCs w:val="32"/>
        </w:rPr>
        <w:t xml:space="preserve">- </w:t>
      </w:r>
      <w:bookmarkStart w:id="7" w:name="TM2014_1933_1"/>
      <w:bookmarkEnd w:id="7"/>
      <w:r w:rsidRPr="001B0BD5">
        <w:rPr>
          <w:b/>
          <w:bCs/>
          <w:sz w:val="32"/>
          <w:szCs w:val="32"/>
          <w:rtl/>
        </w:rPr>
        <w:t>أن تقدير قيام الانحراف فى استعمال حق الالتجاء الى القضاء أو نفيه واستخلاص الخطأ الموجب للمسئولية وإثبات توافر سوء القصد هو مما يدخل فى السلطة التقديرية لمحكمة الموضوع شريطة أن يكون استخلاصها سائغا</w:t>
      </w:r>
      <w:r w:rsidRPr="001B0BD5">
        <w:rPr>
          <w:b/>
          <w:bCs/>
          <w:sz w:val="32"/>
          <w:szCs w:val="32"/>
        </w:rPr>
        <w:t xml:space="preserve">. </w:t>
      </w:r>
      <w:r w:rsidRPr="001B0BD5">
        <w:rPr>
          <w:sz w:val="32"/>
          <w:szCs w:val="32"/>
          <w:rtl/>
        </w:rPr>
        <w:t>وكان الحكم الابتدائي المؤيد بالحكم المطعون فيه قد أقام قضاءه على ما استخلصه سائغا مما له أصله الثابت بالاوراق ويكفى لحمله ويؤدي الى النتيجة التي انتهي اليها</w:t>
      </w:r>
      <w:r w:rsidRPr="001B0BD5">
        <w:rPr>
          <w:sz w:val="32"/>
          <w:szCs w:val="32"/>
        </w:rPr>
        <w:t xml:space="preserve">. </w:t>
      </w:r>
      <w:r w:rsidRPr="001B0BD5">
        <w:rPr>
          <w:sz w:val="32"/>
          <w:szCs w:val="32"/>
          <w:rtl/>
        </w:rPr>
        <w:t xml:space="preserve">من أن المطعون ضدها لم يسيئا استعمال حق التقاضي قبل الطاعن ولم يقصدا الاضرار به وإنما حلا </w:t>
      </w:r>
      <w:r w:rsidRPr="001B0BD5">
        <w:rPr>
          <w:sz w:val="32"/>
          <w:szCs w:val="32"/>
        </w:rPr>
        <w:t xml:space="preserve">– </w:t>
      </w:r>
      <w:r w:rsidRPr="001B0BD5">
        <w:rPr>
          <w:sz w:val="32"/>
          <w:szCs w:val="32"/>
          <w:rtl/>
        </w:rPr>
        <w:t xml:space="preserve">بعد وفاة والدهما- محل الهيئة العامة لشئون القصر </w:t>
      </w:r>
      <w:r w:rsidRPr="001B0BD5">
        <w:rPr>
          <w:sz w:val="32"/>
          <w:szCs w:val="32"/>
        </w:rPr>
        <w:t xml:space="preserve">– </w:t>
      </w:r>
      <w:r w:rsidRPr="001B0BD5">
        <w:rPr>
          <w:sz w:val="32"/>
          <w:szCs w:val="32"/>
          <w:rtl/>
        </w:rPr>
        <w:t>التي كانت قد أقامت على الطاعن</w:t>
      </w:r>
      <w:r w:rsidRPr="001B0BD5">
        <w:rPr>
          <w:sz w:val="32"/>
          <w:szCs w:val="32"/>
        </w:rPr>
        <w:t xml:space="preserve">- </w:t>
      </w:r>
      <w:r w:rsidRPr="001B0BD5">
        <w:rPr>
          <w:sz w:val="32"/>
          <w:szCs w:val="32"/>
          <w:rtl/>
        </w:rPr>
        <w:t>بصفتهما قيما على والدهما</w:t>
      </w:r>
      <w:r w:rsidRPr="001B0BD5">
        <w:rPr>
          <w:sz w:val="32"/>
          <w:szCs w:val="32"/>
        </w:rPr>
        <w:t xml:space="preserve">- </w:t>
      </w:r>
      <w:r w:rsidRPr="001B0BD5">
        <w:rPr>
          <w:sz w:val="32"/>
          <w:szCs w:val="32"/>
          <w:rtl/>
        </w:rPr>
        <w:t xml:space="preserve">الدعوى رقم </w:t>
      </w:r>
      <w:r w:rsidRPr="001B0BD5">
        <w:rPr>
          <w:sz w:val="32"/>
          <w:szCs w:val="32"/>
        </w:rPr>
        <w:t xml:space="preserve">253/2008 </w:t>
      </w:r>
      <w:r w:rsidRPr="001B0BD5">
        <w:rPr>
          <w:sz w:val="32"/>
          <w:szCs w:val="32"/>
          <w:rtl/>
        </w:rPr>
        <w:t xml:space="preserve">تجارى كلي بطلب الحكم ببطلان تنازل والدهما عن بلاغه رقم 8/2004 جنح الصالحية الذي يتهم فيه الطاعن بخيانة الامانة وبالزام الاخير برد مبلغ 52500 دينار فلما أجابت المحكمة الهيئة المذكورة لطلبها الأول ورفضت الثاني كان للمطعون ضدهما ما يبرر تظلمهما من قرار حفظ الجنحة المشار اليها الذي استند الى تنازل والدهما عن شكواه رغم ثبوت تهمه خيانة الأمانة في حق الطاعن. فإن النعي عليه بسببي الطاعن التفاته عن دفاع الطاعن بأن المطعون ضدهما اعتادا ذكره وهو عمهما بما لا يليق به من خيانة واحتيال رغم أن قرار حفظ التحقيق في ذلك الاتهام قد أغلق موضوع ذلك التحقيق فلا يجوز إعادة </w:t>
      </w:r>
      <w:r w:rsidRPr="001B0BD5">
        <w:rPr>
          <w:sz w:val="32"/>
          <w:szCs w:val="32"/>
          <w:rtl/>
        </w:rPr>
        <w:lastRenderedPageBreak/>
        <w:t xml:space="preserve">ترديده فضلا عن عدم صدور أية أحكام بإدانته </w:t>
      </w:r>
      <w:r w:rsidRPr="001B0BD5">
        <w:rPr>
          <w:sz w:val="32"/>
          <w:szCs w:val="32"/>
        </w:rPr>
        <w:t xml:space="preserve">– </w:t>
      </w:r>
      <w:r w:rsidRPr="001B0BD5">
        <w:rPr>
          <w:sz w:val="32"/>
          <w:szCs w:val="32"/>
          <w:rtl/>
        </w:rPr>
        <w:t xml:space="preserve">لا يعدو أن يكون في جملته </w:t>
      </w:r>
      <w:r w:rsidRPr="001B0BD5">
        <w:rPr>
          <w:sz w:val="32"/>
          <w:szCs w:val="32"/>
        </w:rPr>
        <w:t xml:space="preserve">– </w:t>
      </w:r>
      <w:r w:rsidRPr="001B0BD5">
        <w:rPr>
          <w:sz w:val="32"/>
          <w:szCs w:val="32"/>
          <w:rtl/>
        </w:rPr>
        <w:t>جدلا موضوعيا فيما لمحكمة الموضوع سلطة استخلاصه وتقديره لا يجوز اثارته أمام هذه المحكمة</w:t>
      </w:r>
      <w:r w:rsidRPr="001B0BD5">
        <w:rPr>
          <w:sz w:val="32"/>
          <w:szCs w:val="32"/>
        </w:rPr>
        <w:t>.</w:t>
      </w:r>
    </w:p>
    <w:p w:rsidR="001B0BD5" w:rsidRPr="001B0BD5" w:rsidRDefault="001B0BD5" w:rsidP="001B0BD5">
      <w:pPr>
        <w:rPr>
          <w:sz w:val="32"/>
          <w:szCs w:val="32"/>
        </w:rPr>
      </w:pPr>
      <w:bookmarkStart w:id="8" w:name="Anchor182"/>
      <w:bookmarkEnd w:id="8"/>
      <w:r w:rsidRPr="001B0BD5">
        <w:rPr>
          <w:sz w:val="32"/>
          <w:szCs w:val="32"/>
          <w:rtl/>
        </w:rPr>
        <w:t>لـذلـك</w:t>
      </w:r>
    </w:p>
    <w:p w:rsidR="001B0BD5" w:rsidRPr="001B0BD5" w:rsidRDefault="001B0BD5" w:rsidP="001B0BD5">
      <w:pPr>
        <w:rPr>
          <w:sz w:val="32"/>
          <w:szCs w:val="32"/>
        </w:rPr>
      </w:pPr>
      <w:bookmarkStart w:id="9" w:name="Anchor183"/>
      <w:bookmarkEnd w:id="9"/>
      <w:r w:rsidRPr="001B0BD5">
        <w:rPr>
          <w:sz w:val="32"/>
          <w:szCs w:val="32"/>
          <w:rtl/>
        </w:rPr>
        <w:t xml:space="preserve">قررت المحكمة -في غرفة مشورة </w:t>
      </w:r>
      <w:r w:rsidRPr="001B0BD5">
        <w:rPr>
          <w:sz w:val="32"/>
          <w:szCs w:val="32"/>
        </w:rPr>
        <w:t xml:space="preserve">– </w:t>
      </w:r>
      <w:r w:rsidRPr="001B0BD5">
        <w:rPr>
          <w:sz w:val="32"/>
          <w:szCs w:val="32"/>
          <w:rtl/>
        </w:rPr>
        <w:t>عدم قبول الطعن والزمت الطاعن المصروفات مع مصادرة الكفالة</w:t>
      </w:r>
      <w:r w:rsidRPr="001B0BD5">
        <w:rPr>
          <w:sz w:val="32"/>
          <w:szCs w:val="32"/>
        </w:rPr>
        <w:t>.</w:t>
      </w:r>
    </w:p>
    <w:p w:rsidR="001B0BD5" w:rsidRPr="001B0BD5" w:rsidRDefault="001B0BD5" w:rsidP="001B0BD5">
      <w:pPr>
        <w:rPr>
          <w:sz w:val="32"/>
          <w:szCs w:val="32"/>
        </w:rPr>
      </w:pPr>
    </w:p>
    <w:p w:rsidR="001B0BD5" w:rsidRPr="001B0BD5" w:rsidRDefault="001B0BD5" w:rsidP="001B0BD5">
      <w:pPr>
        <w:rPr>
          <w:sz w:val="32"/>
          <w:szCs w:val="32"/>
        </w:rPr>
      </w:pPr>
      <w:bookmarkStart w:id="10" w:name="Anchor193"/>
      <w:bookmarkEnd w:id="10"/>
      <w:r w:rsidRPr="001B0BD5">
        <w:rPr>
          <w:sz w:val="32"/>
          <w:szCs w:val="32"/>
        </w:rPr>
        <w:t>* * *</w:t>
      </w:r>
    </w:p>
    <w:p w:rsidR="00D32E0F" w:rsidRPr="001B0BD5" w:rsidRDefault="00D32E0F">
      <w:pPr>
        <w:rPr>
          <w:sz w:val="32"/>
          <w:szCs w:val="32"/>
        </w:rPr>
      </w:pPr>
    </w:p>
    <w:sectPr w:rsidR="00D32E0F" w:rsidRPr="001B0BD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74"/>
    <w:rsid w:val="0003272B"/>
    <w:rsid w:val="001B0BD5"/>
    <w:rsid w:val="00BB027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9522">
      <w:bodyDiv w:val="1"/>
      <w:marLeft w:val="0"/>
      <w:marRight w:val="0"/>
      <w:marTop w:val="0"/>
      <w:marBottom w:val="0"/>
      <w:divBdr>
        <w:top w:val="none" w:sz="0" w:space="0" w:color="auto"/>
        <w:left w:val="none" w:sz="0" w:space="0" w:color="auto"/>
        <w:bottom w:val="none" w:sz="0" w:space="0" w:color="auto"/>
        <w:right w:val="none" w:sz="0" w:space="0" w:color="auto"/>
      </w:divBdr>
      <w:divsChild>
        <w:div w:id="1938444884">
          <w:marLeft w:val="0"/>
          <w:marRight w:val="0"/>
          <w:marTop w:val="0"/>
          <w:marBottom w:val="0"/>
          <w:divBdr>
            <w:top w:val="none" w:sz="0" w:space="0" w:color="auto"/>
            <w:left w:val="none" w:sz="0" w:space="0" w:color="auto"/>
            <w:bottom w:val="none" w:sz="0" w:space="0" w:color="auto"/>
            <w:right w:val="none" w:sz="0" w:space="0" w:color="auto"/>
          </w:divBdr>
        </w:div>
        <w:div w:id="2015568200">
          <w:marLeft w:val="0"/>
          <w:marRight w:val="0"/>
          <w:marTop w:val="0"/>
          <w:marBottom w:val="0"/>
          <w:divBdr>
            <w:top w:val="none" w:sz="0" w:space="0" w:color="auto"/>
            <w:left w:val="none" w:sz="0" w:space="0" w:color="auto"/>
            <w:bottom w:val="none" w:sz="0" w:space="0" w:color="auto"/>
            <w:right w:val="none" w:sz="0" w:space="0" w:color="auto"/>
          </w:divBdr>
        </w:div>
        <w:div w:id="1743481950">
          <w:marLeft w:val="0"/>
          <w:marRight w:val="0"/>
          <w:marTop w:val="0"/>
          <w:marBottom w:val="0"/>
          <w:divBdr>
            <w:top w:val="none" w:sz="0" w:space="0" w:color="auto"/>
            <w:left w:val="none" w:sz="0" w:space="0" w:color="auto"/>
            <w:bottom w:val="none" w:sz="0" w:space="0" w:color="auto"/>
            <w:right w:val="none" w:sz="0" w:space="0" w:color="auto"/>
          </w:divBdr>
        </w:div>
        <w:div w:id="1893536268">
          <w:marLeft w:val="0"/>
          <w:marRight w:val="0"/>
          <w:marTop w:val="0"/>
          <w:marBottom w:val="0"/>
          <w:divBdr>
            <w:top w:val="none" w:sz="0" w:space="0" w:color="auto"/>
            <w:left w:val="none" w:sz="0" w:space="0" w:color="auto"/>
            <w:bottom w:val="none" w:sz="0" w:space="0" w:color="auto"/>
            <w:right w:val="none" w:sz="0" w:space="0" w:color="auto"/>
          </w:divBdr>
        </w:div>
        <w:div w:id="1611741663">
          <w:marLeft w:val="0"/>
          <w:marRight w:val="0"/>
          <w:marTop w:val="0"/>
          <w:marBottom w:val="0"/>
          <w:divBdr>
            <w:top w:val="none" w:sz="0" w:space="0" w:color="auto"/>
            <w:left w:val="none" w:sz="0" w:space="0" w:color="auto"/>
            <w:bottom w:val="none" w:sz="0" w:space="0" w:color="auto"/>
            <w:right w:val="none" w:sz="0" w:space="0" w:color="auto"/>
          </w:divBdr>
        </w:div>
        <w:div w:id="671444726">
          <w:marLeft w:val="0"/>
          <w:marRight w:val="0"/>
          <w:marTop w:val="0"/>
          <w:marBottom w:val="0"/>
          <w:divBdr>
            <w:top w:val="none" w:sz="0" w:space="0" w:color="auto"/>
            <w:left w:val="none" w:sz="0" w:space="0" w:color="auto"/>
            <w:bottom w:val="none" w:sz="0" w:space="0" w:color="auto"/>
            <w:right w:val="none" w:sz="0" w:space="0" w:color="auto"/>
          </w:divBdr>
        </w:div>
        <w:div w:id="217208105">
          <w:marLeft w:val="0"/>
          <w:marRight w:val="0"/>
          <w:marTop w:val="0"/>
          <w:marBottom w:val="0"/>
          <w:divBdr>
            <w:top w:val="none" w:sz="0" w:space="0" w:color="auto"/>
            <w:left w:val="none" w:sz="0" w:space="0" w:color="auto"/>
            <w:bottom w:val="none" w:sz="0" w:space="0" w:color="auto"/>
            <w:right w:val="none" w:sz="0" w:space="0" w:color="auto"/>
          </w:divBdr>
        </w:div>
        <w:div w:id="572815416">
          <w:marLeft w:val="0"/>
          <w:marRight w:val="0"/>
          <w:marTop w:val="0"/>
          <w:marBottom w:val="0"/>
          <w:divBdr>
            <w:top w:val="none" w:sz="0" w:space="0" w:color="auto"/>
            <w:left w:val="none" w:sz="0" w:space="0" w:color="auto"/>
            <w:bottom w:val="none" w:sz="0" w:space="0" w:color="auto"/>
            <w:right w:val="none" w:sz="0" w:space="0" w:color="auto"/>
          </w:divBdr>
        </w:div>
        <w:div w:id="701055811">
          <w:marLeft w:val="0"/>
          <w:marRight w:val="0"/>
          <w:marTop w:val="0"/>
          <w:marBottom w:val="0"/>
          <w:divBdr>
            <w:top w:val="none" w:sz="0" w:space="0" w:color="auto"/>
            <w:left w:val="none" w:sz="0" w:space="0" w:color="auto"/>
            <w:bottom w:val="none" w:sz="0" w:space="0" w:color="auto"/>
            <w:right w:val="none" w:sz="0" w:space="0" w:color="auto"/>
          </w:divBdr>
        </w:div>
      </w:divsChild>
    </w:div>
    <w:div w:id="682171521">
      <w:bodyDiv w:val="1"/>
      <w:marLeft w:val="0"/>
      <w:marRight w:val="0"/>
      <w:marTop w:val="0"/>
      <w:marBottom w:val="0"/>
      <w:divBdr>
        <w:top w:val="none" w:sz="0" w:space="0" w:color="auto"/>
        <w:left w:val="none" w:sz="0" w:space="0" w:color="auto"/>
        <w:bottom w:val="none" w:sz="0" w:space="0" w:color="auto"/>
        <w:right w:val="none" w:sz="0" w:space="0" w:color="auto"/>
      </w:divBdr>
      <w:divsChild>
        <w:div w:id="1477986531">
          <w:marLeft w:val="0"/>
          <w:marRight w:val="0"/>
          <w:marTop w:val="0"/>
          <w:marBottom w:val="0"/>
          <w:divBdr>
            <w:top w:val="none" w:sz="0" w:space="0" w:color="auto"/>
            <w:left w:val="none" w:sz="0" w:space="0" w:color="auto"/>
            <w:bottom w:val="none" w:sz="0" w:space="0" w:color="auto"/>
            <w:right w:val="none" w:sz="0" w:space="0" w:color="auto"/>
          </w:divBdr>
        </w:div>
        <w:div w:id="1209144085">
          <w:marLeft w:val="0"/>
          <w:marRight w:val="0"/>
          <w:marTop w:val="0"/>
          <w:marBottom w:val="0"/>
          <w:divBdr>
            <w:top w:val="none" w:sz="0" w:space="0" w:color="auto"/>
            <w:left w:val="none" w:sz="0" w:space="0" w:color="auto"/>
            <w:bottom w:val="none" w:sz="0" w:space="0" w:color="auto"/>
            <w:right w:val="none" w:sz="0" w:space="0" w:color="auto"/>
          </w:divBdr>
        </w:div>
        <w:div w:id="388768948">
          <w:marLeft w:val="0"/>
          <w:marRight w:val="0"/>
          <w:marTop w:val="0"/>
          <w:marBottom w:val="0"/>
          <w:divBdr>
            <w:top w:val="none" w:sz="0" w:space="0" w:color="auto"/>
            <w:left w:val="none" w:sz="0" w:space="0" w:color="auto"/>
            <w:bottom w:val="none" w:sz="0" w:space="0" w:color="auto"/>
            <w:right w:val="none" w:sz="0" w:space="0" w:color="auto"/>
          </w:divBdr>
        </w:div>
        <w:div w:id="533226055">
          <w:marLeft w:val="0"/>
          <w:marRight w:val="0"/>
          <w:marTop w:val="0"/>
          <w:marBottom w:val="0"/>
          <w:divBdr>
            <w:top w:val="none" w:sz="0" w:space="0" w:color="auto"/>
            <w:left w:val="none" w:sz="0" w:space="0" w:color="auto"/>
            <w:bottom w:val="none" w:sz="0" w:space="0" w:color="auto"/>
            <w:right w:val="none" w:sz="0" w:space="0" w:color="auto"/>
          </w:divBdr>
        </w:div>
        <w:div w:id="1811555534">
          <w:marLeft w:val="0"/>
          <w:marRight w:val="0"/>
          <w:marTop w:val="0"/>
          <w:marBottom w:val="0"/>
          <w:divBdr>
            <w:top w:val="none" w:sz="0" w:space="0" w:color="auto"/>
            <w:left w:val="none" w:sz="0" w:space="0" w:color="auto"/>
            <w:bottom w:val="none" w:sz="0" w:space="0" w:color="auto"/>
            <w:right w:val="none" w:sz="0" w:space="0" w:color="auto"/>
          </w:divBdr>
        </w:div>
        <w:div w:id="217741629">
          <w:marLeft w:val="0"/>
          <w:marRight w:val="0"/>
          <w:marTop w:val="0"/>
          <w:marBottom w:val="0"/>
          <w:divBdr>
            <w:top w:val="none" w:sz="0" w:space="0" w:color="auto"/>
            <w:left w:val="none" w:sz="0" w:space="0" w:color="auto"/>
            <w:bottom w:val="none" w:sz="0" w:space="0" w:color="auto"/>
            <w:right w:val="none" w:sz="0" w:space="0" w:color="auto"/>
          </w:divBdr>
        </w:div>
        <w:div w:id="1203055308">
          <w:marLeft w:val="0"/>
          <w:marRight w:val="0"/>
          <w:marTop w:val="0"/>
          <w:marBottom w:val="0"/>
          <w:divBdr>
            <w:top w:val="none" w:sz="0" w:space="0" w:color="auto"/>
            <w:left w:val="none" w:sz="0" w:space="0" w:color="auto"/>
            <w:bottom w:val="none" w:sz="0" w:space="0" w:color="auto"/>
            <w:right w:val="none" w:sz="0" w:space="0" w:color="auto"/>
          </w:divBdr>
        </w:div>
        <w:div w:id="1547176365">
          <w:marLeft w:val="0"/>
          <w:marRight w:val="0"/>
          <w:marTop w:val="0"/>
          <w:marBottom w:val="0"/>
          <w:divBdr>
            <w:top w:val="none" w:sz="0" w:space="0" w:color="auto"/>
            <w:left w:val="none" w:sz="0" w:space="0" w:color="auto"/>
            <w:bottom w:val="none" w:sz="0" w:space="0" w:color="auto"/>
            <w:right w:val="none" w:sz="0" w:space="0" w:color="auto"/>
          </w:divBdr>
        </w:div>
        <w:div w:id="1114254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2020-04-26T13:19:00Z</dcterms:created>
  <dcterms:modified xsi:type="dcterms:W3CDTF">2020-04-26T13:20:00Z</dcterms:modified>
</cp:coreProperties>
</file>