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C3A" w:rsidRPr="006B2C3A" w:rsidRDefault="006B2C3A" w:rsidP="006B2C3A">
      <w:pPr>
        <w:jc w:val="center"/>
        <w:rPr>
          <w:sz w:val="32"/>
          <w:szCs w:val="32"/>
        </w:rPr>
      </w:pPr>
      <w:bookmarkStart w:id="0" w:name="Anchor1"/>
      <w:bookmarkEnd w:id="0"/>
      <w:r w:rsidRPr="006B2C3A">
        <w:rPr>
          <w:sz w:val="32"/>
          <w:szCs w:val="32"/>
          <w:rtl/>
        </w:rPr>
        <w:t>الطعن</w:t>
      </w:r>
      <w:bookmarkStart w:id="1" w:name="_GoBack"/>
      <w:bookmarkEnd w:id="1"/>
      <w:r w:rsidRPr="006B2C3A">
        <w:rPr>
          <w:sz w:val="32"/>
          <w:szCs w:val="32"/>
          <w:rtl/>
        </w:rPr>
        <w:t xml:space="preserve"> رقم 2025/2013</w:t>
      </w:r>
    </w:p>
    <w:p w:rsidR="006B2C3A" w:rsidRPr="006B2C3A" w:rsidRDefault="006B2C3A" w:rsidP="006B2C3A">
      <w:pPr>
        <w:rPr>
          <w:sz w:val="32"/>
          <w:szCs w:val="32"/>
        </w:rPr>
      </w:pPr>
      <w:bookmarkStart w:id="2" w:name="Anchor6"/>
      <w:bookmarkEnd w:id="2"/>
      <w:r w:rsidRPr="006B2C3A">
        <w:rPr>
          <w:sz w:val="32"/>
          <w:szCs w:val="32"/>
          <w:rtl/>
        </w:rPr>
        <w:t>هيئة المحكمة</w:t>
      </w:r>
      <w:r w:rsidRPr="006B2C3A">
        <w:rPr>
          <w:sz w:val="32"/>
          <w:szCs w:val="32"/>
        </w:rPr>
        <w:t xml:space="preserve">: </w:t>
      </w:r>
      <w:r w:rsidRPr="006B2C3A">
        <w:rPr>
          <w:sz w:val="32"/>
          <w:szCs w:val="32"/>
          <w:rtl/>
        </w:rPr>
        <w:t>برئاسة السيد المستشار عادل على البحوة وكيل المحكمة وعضوية السادة المستشارين عادل على البحوة وإبراهيم الضبع وهشام فراويلة وثروت نصرالدين</w:t>
      </w:r>
    </w:p>
    <w:bookmarkStart w:id="3" w:name="Anchor23"/>
    <w:bookmarkEnd w:id="3"/>
    <w:p w:rsidR="006B2C3A" w:rsidRPr="006B2C3A" w:rsidRDefault="006B2C3A" w:rsidP="006B2C3A">
      <w:pPr>
        <w:rPr>
          <w:sz w:val="32"/>
          <w:szCs w:val="32"/>
        </w:rPr>
      </w:pPr>
      <w:r w:rsidRPr="006B2C3A">
        <w:rPr>
          <w:sz w:val="32"/>
          <w:szCs w:val="32"/>
        </w:rPr>
        <w:fldChar w:fldCharType="begin"/>
      </w:r>
      <w:r w:rsidRPr="006B2C3A">
        <w:rPr>
          <w:sz w:val="32"/>
          <w:szCs w:val="32"/>
        </w:rPr>
        <w:instrText xml:space="preserve"> HYPERLINK "http://www.law.gov.kw/KWT_CC-Ar/00_2014/00_%D8%A7%D9%84%D8%AF%D8%A7%D8%A6%D8%B1%D8%A9%20%D8%A7%D9%84%D8%AA%D8%AC%D8%A7%D8%B1%D9%8A%D8%A9/KWT-CC-Ar_2014-05-19_02025_Taan.html" \l "TM2014_2025_1" </w:instrText>
      </w:r>
      <w:r w:rsidRPr="006B2C3A">
        <w:rPr>
          <w:sz w:val="32"/>
          <w:szCs w:val="32"/>
        </w:rPr>
        <w:fldChar w:fldCharType="separate"/>
      </w:r>
      <w:r w:rsidRPr="006B2C3A">
        <w:rPr>
          <w:rStyle w:val="Hyperlink"/>
          <w:sz w:val="32"/>
          <w:szCs w:val="32"/>
        </w:rPr>
        <w:t xml:space="preserve">1- </w:t>
      </w:r>
      <w:r w:rsidRPr="006B2C3A">
        <w:rPr>
          <w:rStyle w:val="Hyperlink"/>
          <w:sz w:val="32"/>
          <w:szCs w:val="32"/>
          <w:rtl/>
        </w:rPr>
        <w:t>إن المشرّع لم يضع أي قيد على تصرف العضو في شركات المساهمة بأسهمه أو تحديد نسبة معينة من الأسهم للتصرف بها</w:t>
      </w:r>
      <w:r w:rsidRPr="006B2C3A">
        <w:rPr>
          <w:rStyle w:val="Hyperlink"/>
          <w:sz w:val="32"/>
          <w:szCs w:val="32"/>
        </w:rPr>
        <w:t>.</w:t>
      </w:r>
      <w:r w:rsidRPr="006B2C3A">
        <w:rPr>
          <w:sz w:val="32"/>
          <w:szCs w:val="32"/>
        </w:rPr>
        <w:fldChar w:fldCharType="end"/>
      </w:r>
    </w:p>
    <w:bookmarkStart w:id="4" w:name="Anchor35"/>
    <w:bookmarkEnd w:id="4"/>
    <w:p w:rsidR="006B2C3A" w:rsidRPr="006B2C3A" w:rsidRDefault="006B2C3A" w:rsidP="006B2C3A">
      <w:pPr>
        <w:rPr>
          <w:sz w:val="32"/>
          <w:szCs w:val="32"/>
        </w:rPr>
      </w:pPr>
      <w:r w:rsidRPr="006B2C3A">
        <w:rPr>
          <w:sz w:val="32"/>
          <w:szCs w:val="32"/>
        </w:rPr>
        <w:fldChar w:fldCharType="begin"/>
      </w:r>
      <w:r w:rsidRPr="006B2C3A">
        <w:rPr>
          <w:sz w:val="32"/>
          <w:szCs w:val="32"/>
        </w:rPr>
        <w:instrText xml:space="preserve"> HYPERLINK "http://www.law.gov.kw/KWT_CC-Ar/00_2014/00_%D8%A7%D9%84%D8%AF%D8%A7%D8%A6%D8%B1%D8%A9%20%D8%A7%D9%84%D8%AA%D8%AC%D8%A7%D8%B1%D9%8A%D8%A9/KWT-CC-Ar_2014-05-19_02025_Taan.html" \l "TM2014_2025_2" </w:instrText>
      </w:r>
      <w:r w:rsidRPr="006B2C3A">
        <w:rPr>
          <w:sz w:val="32"/>
          <w:szCs w:val="32"/>
        </w:rPr>
        <w:fldChar w:fldCharType="separate"/>
      </w:r>
      <w:r w:rsidRPr="006B2C3A">
        <w:rPr>
          <w:rStyle w:val="Hyperlink"/>
          <w:sz w:val="32"/>
          <w:szCs w:val="32"/>
        </w:rPr>
        <w:t xml:space="preserve">2- </w:t>
      </w:r>
      <w:r w:rsidRPr="006B2C3A">
        <w:rPr>
          <w:rStyle w:val="Hyperlink"/>
          <w:sz w:val="32"/>
          <w:szCs w:val="32"/>
          <w:rtl/>
        </w:rPr>
        <w:t>إن الجدل حول إستخلاص الخطأ المستوجب المسئولية وعلاقة السببية بين الخطأ والضرر وتقدير التعويض المناسب في دعوى المسئولية التقصيرية للشركة المساهمة هو جدل موضوعي لا يجوز إثارته أمام محكمة التمييز</w:t>
      </w:r>
      <w:r w:rsidRPr="006B2C3A">
        <w:rPr>
          <w:rStyle w:val="Hyperlink"/>
          <w:sz w:val="32"/>
          <w:szCs w:val="32"/>
        </w:rPr>
        <w:t>.</w:t>
      </w:r>
      <w:r w:rsidRPr="006B2C3A">
        <w:rPr>
          <w:sz w:val="32"/>
          <w:szCs w:val="32"/>
        </w:rPr>
        <w:fldChar w:fldCharType="end"/>
      </w:r>
      <w:r w:rsidRPr="006B2C3A">
        <w:rPr>
          <w:sz w:val="32"/>
          <w:szCs w:val="32"/>
        </w:rPr>
        <w:br/>
      </w:r>
      <w:r w:rsidRPr="006B2C3A">
        <w:rPr>
          <w:sz w:val="32"/>
          <w:szCs w:val="32"/>
        </w:rPr>
        <w:br/>
      </w:r>
      <w:r w:rsidRPr="006B2C3A">
        <w:rPr>
          <w:sz w:val="32"/>
          <w:szCs w:val="32"/>
          <w:u w:val="single"/>
          <w:rtl/>
        </w:rPr>
        <w:t>ملاحظة</w:t>
      </w:r>
      <w:r w:rsidRPr="006B2C3A">
        <w:rPr>
          <w:sz w:val="32"/>
          <w:szCs w:val="32"/>
          <w:u w:val="single"/>
        </w:rPr>
        <w:t xml:space="preserve"> :</w:t>
      </w:r>
      <w:r w:rsidRPr="006B2C3A">
        <w:rPr>
          <w:sz w:val="32"/>
          <w:szCs w:val="32"/>
        </w:rPr>
        <w:br/>
      </w:r>
      <w:r w:rsidRPr="006B2C3A">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6B2C3A" w:rsidRPr="006B2C3A" w:rsidRDefault="006B2C3A" w:rsidP="006B2C3A">
      <w:pPr>
        <w:rPr>
          <w:sz w:val="32"/>
          <w:szCs w:val="32"/>
        </w:rPr>
      </w:pPr>
      <w:bookmarkStart w:id="5" w:name="Anchor57"/>
      <w:bookmarkEnd w:id="5"/>
      <w:r w:rsidRPr="006B2C3A">
        <w:rPr>
          <w:b/>
          <w:bCs/>
          <w:sz w:val="32"/>
          <w:szCs w:val="32"/>
          <w:rtl/>
        </w:rPr>
        <w:t>المحكمة</w:t>
      </w:r>
    </w:p>
    <w:p w:rsidR="006B2C3A" w:rsidRPr="006B2C3A" w:rsidRDefault="006B2C3A" w:rsidP="006B2C3A">
      <w:pPr>
        <w:rPr>
          <w:sz w:val="32"/>
          <w:szCs w:val="32"/>
        </w:rPr>
      </w:pPr>
      <w:bookmarkStart w:id="6" w:name="Anchor58"/>
      <w:bookmarkEnd w:id="6"/>
      <w:r w:rsidRPr="006B2C3A">
        <w:rPr>
          <w:sz w:val="32"/>
          <w:szCs w:val="32"/>
          <w:rtl/>
        </w:rPr>
        <w:t>بعد الاطلاع على الأوراق، والمداولة</w:t>
      </w:r>
      <w:r w:rsidRPr="006B2C3A">
        <w:rPr>
          <w:sz w:val="32"/>
          <w:szCs w:val="32"/>
        </w:rPr>
        <w:t>.</w:t>
      </w:r>
    </w:p>
    <w:p w:rsidR="006B2C3A" w:rsidRPr="006B2C3A" w:rsidRDefault="006B2C3A" w:rsidP="006B2C3A">
      <w:pPr>
        <w:rPr>
          <w:sz w:val="32"/>
          <w:szCs w:val="32"/>
        </w:rPr>
      </w:pPr>
      <w:bookmarkStart w:id="7" w:name="Anchor62"/>
      <w:bookmarkStart w:id="8" w:name="TM2014_2025_1"/>
      <w:bookmarkEnd w:id="7"/>
      <w:bookmarkEnd w:id="8"/>
      <w:r w:rsidRPr="006B2C3A">
        <w:rPr>
          <w:b/>
          <w:bCs/>
          <w:sz w:val="32"/>
          <w:szCs w:val="32"/>
          <w:rtl/>
        </w:rPr>
        <w:t>لما كان المشرع لم يضع ثمة قيد على تصرف العضو في شركات المساهمة في الأسهم المملوكة له أو تحديد نسبة معينه من الأسهم للتصرف فيها،</w:t>
      </w:r>
    </w:p>
    <w:p w:rsidR="006B2C3A" w:rsidRPr="006B2C3A" w:rsidRDefault="006B2C3A" w:rsidP="006B2C3A">
      <w:pPr>
        <w:rPr>
          <w:sz w:val="32"/>
          <w:szCs w:val="32"/>
        </w:rPr>
      </w:pPr>
      <w:bookmarkStart w:id="9" w:name="Anchor77"/>
      <w:bookmarkStart w:id="10" w:name="TM2014_2025_2"/>
      <w:bookmarkEnd w:id="9"/>
      <w:bookmarkEnd w:id="10"/>
      <w:r w:rsidRPr="006B2C3A">
        <w:rPr>
          <w:b/>
          <w:bCs/>
          <w:sz w:val="32"/>
          <w:szCs w:val="32"/>
          <w:rtl/>
        </w:rPr>
        <w:t xml:space="preserve">وكان الحكم المطعون فيه بما له من سلطة استخلاص الخطأ الموجب للمسئولية وعلاقة السببية بين الخطأ والضرر وتقدير التعويض الجابر له قد انتهى في قضائه إلى الزام الشركة الطاعنة بالمبلغ المقضي به على ما خلص إليه من تقرير الخبير وكتاب سوق الكويت للأوراق المالية المؤرخ 2010/3/8 الموجه إلى رئيس مجلس إدارة الشركة الطاعنة من أن المطعون ضده الأول قد اكتتب في أسهم الشركة الطاعنة بعدد مائة وثمانون ألف سهم وطلب تحويل هذه الأسهم لحسابه بسوق دبي للأوراق المالية والذي رفض أتمام هذا التمويل باعتبار أن الشركة الطاعنة اتخذت قراراها بتحديد نسبة </w:t>
      </w:r>
      <w:r w:rsidRPr="006B2C3A">
        <w:rPr>
          <w:b/>
          <w:bCs/>
          <w:sz w:val="32"/>
          <w:szCs w:val="32"/>
        </w:rPr>
        <w:t>9,15</w:t>
      </w:r>
      <w:r w:rsidRPr="006B2C3A">
        <w:rPr>
          <w:b/>
          <w:bCs/>
          <w:sz w:val="32"/>
          <w:szCs w:val="32"/>
          <w:rtl/>
        </w:rPr>
        <w:t xml:space="preserve">٪ من الأسهم الواجب تحويلها، وانتهى الحكم إلى أن ذلك يعد قيداً على حرية المطعون ضده الأول في التصرف في الأسهم المملوكة له مما يعد خطأ يستوجب المسئولية التقصيرية للشركة الطاعنة اصابه بأضرار مادية وأدبية قدرها الحكم بالمبلغ المقضي به، وكان هذا الاستخلاص من الحكم سائغاً وله معينه الثابت بالأوراق ويكفي لحمل قضائه، فإن </w:t>
      </w:r>
      <w:r w:rsidRPr="006B2C3A">
        <w:rPr>
          <w:b/>
          <w:bCs/>
          <w:sz w:val="32"/>
          <w:szCs w:val="32"/>
          <w:rtl/>
        </w:rPr>
        <w:lastRenderedPageBreak/>
        <w:t>ما يثيره الطاعن بأسباب الطعن لا يعدو أن يكون جدلاً فيما تستقل محكمة الموضوع بتقديره مما لا يجوز أثارته أمام هذه المحكمة ومن ثم غير مقبول، وعليه يكون الطعن وقد أقيم على خلاف الأسباب المبينة بالمادتين 152، 154/5 من قانون المرافعات</w:t>
      </w:r>
      <w:r w:rsidRPr="006B2C3A">
        <w:rPr>
          <w:b/>
          <w:bCs/>
          <w:sz w:val="32"/>
          <w:szCs w:val="32"/>
        </w:rPr>
        <w:t>.</w:t>
      </w:r>
    </w:p>
    <w:p w:rsidR="006B2C3A" w:rsidRPr="006B2C3A" w:rsidRDefault="006B2C3A" w:rsidP="006B2C3A">
      <w:pPr>
        <w:rPr>
          <w:sz w:val="32"/>
          <w:szCs w:val="32"/>
        </w:rPr>
      </w:pPr>
      <w:bookmarkStart w:id="11" w:name="Anchor180"/>
      <w:bookmarkEnd w:id="11"/>
      <w:r w:rsidRPr="006B2C3A">
        <w:rPr>
          <w:b/>
          <w:bCs/>
          <w:sz w:val="32"/>
          <w:szCs w:val="32"/>
          <w:rtl/>
        </w:rPr>
        <w:t>لذلك</w:t>
      </w:r>
    </w:p>
    <w:p w:rsidR="006B2C3A" w:rsidRPr="006B2C3A" w:rsidRDefault="006B2C3A" w:rsidP="006B2C3A">
      <w:pPr>
        <w:rPr>
          <w:sz w:val="32"/>
          <w:szCs w:val="32"/>
        </w:rPr>
      </w:pPr>
      <w:bookmarkStart w:id="12" w:name="Anchor181"/>
      <w:bookmarkEnd w:id="12"/>
      <w:r w:rsidRPr="006B2C3A">
        <w:rPr>
          <w:sz w:val="32"/>
          <w:szCs w:val="32"/>
          <w:rtl/>
        </w:rPr>
        <w:t xml:space="preserve">قررت المحكمة </w:t>
      </w:r>
      <w:r w:rsidRPr="006B2C3A">
        <w:rPr>
          <w:sz w:val="32"/>
          <w:szCs w:val="32"/>
        </w:rPr>
        <w:t xml:space="preserve">– </w:t>
      </w:r>
      <w:r w:rsidRPr="006B2C3A">
        <w:rPr>
          <w:sz w:val="32"/>
          <w:szCs w:val="32"/>
          <w:rtl/>
        </w:rPr>
        <w:t xml:space="preserve">في غرفة المشورة </w:t>
      </w:r>
      <w:r w:rsidRPr="006B2C3A">
        <w:rPr>
          <w:sz w:val="32"/>
          <w:szCs w:val="32"/>
        </w:rPr>
        <w:t xml:space="preserve">- </w:t>
      </w:r>
      <w:r w:rsidRPr="006B2C3A">
        <w:rPr>
          <w:sz w:val="32"/>
          <w:szCs w:val="32"/>
          <w:rtl/>
        </w:rPr>
        <w:t>عدم قبول الطعن وألزمت الطاعنة المصروفات وعشرين ديناراً مقابل أتعاب المحاماة مع مصادرة الكفالة</w:t>
      </w:r>
      <w:r w:rsidRPr="006B2C3A">
        <w:rPr>
          <w:sz w:val="32"/>
          <w:szCs w:val="32"/>
        </w:rPr>
        <w:t>.</w:t>
      </w:r>
    </w:p>
    <w:p w:rsidR="006B2C3A" w:rsidRPr="006B2C3A" w:rsidRDefault="006B2C3A" w:rsidP="006B2C3A">
      <w:pPr>
        <w:rPr>
          <w:sz w:val="32"/>
          <w:szCs w:val="32"/>
        </w:rPr>
      </w:pPr>
    </w:p>
    <w:p w:rsidR="006B2C3A" w:rsidRPr="006B2C3A" w:rsidRDefault="006B2C3A" w:rsidP="006B2C3A">
      <w:pPr>
        <w:rPr>
          <w:sz w:val="32"/>
          <w:szCs w:val="32"/>
        </w:rPr>
      </w:pPr>
      <w:bookmarkStart w:id="13" w:name="Anchor200"/>
      <w:bookmarkEnd w:id="13"/>
      <w:r w:rsidRPr="006B2C3A">
        <w:rPr>
          <w:sz w:val="32"/>
          <w:szCs w:val="32"/>
        </w:rPr>
        <w:t>* * *</w:t>
      </w:r>
    </w:p>
    <w:p w:rsidR="008C2BA0" w:rsidRPr="006B2C3A" w:rsidRDefault="008C2BA0">
      <w:pPr>
        <w:rPr>
          <w:sz w:val="32"/>
          <w:szCs w:val="32"/>
        </w:rPr>
      </w:pPr>
    </w:p>
    <w:sectPr w:rsidR="008C2BA0" w:rsidRPr="006B2C3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6A5"/>
    <w:rsid w:val="0003272B"/>
    <w:rsid w:val="006B2C3A"/>
    <w:rsid w:val="007866A5"/>
    <w:rsid w:val="008C2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C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C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601077">
      <w:bodyDiv w:val="1"/>
      <w:marLeft w:val="0"/>
      <w:marRight w:val="0"/>
      <w:marTop w:val="0"/>
      <w:marBottom w:val="0"/>
      <w:divBdr>
        <w:top w:val="none" w:sz="0" w:space="0" w:color="auto"/>
        <w:left w:val="none" w:sz="0" w:space="0" w:color="auto"/>
        <w:bottom w:val="none" w:sz="0" w:space="0" w:color="auto"/>
        <w:right w:val="none" w:sz="0" w:space="0" w:color="auto"/>
      </w:divBdr>
      <w:divsChild>
        <w:div w:id="1969703610">
          <w:marLeft w:val="0"/>
          <w:marRight w:val="0"/>
          <w:marTop w:val="0"/>
          <w:marBottom w:val="0"/>
          <w:divBdr>
            <w:top w:val="none" w:sz="0" w:space="0" w:color="auto"/>
            <w:left w:val="none" w:sz="0" w:space="0" w:color="auto"/>
            <w:bottom w:val="none" w:sz="0" w:space="0" w:color="auto"/>
            <w:right w:val="none" w:sz="0" w:space="0" w:color="auto"/>
          </w:divBdr>
        </w:div>
        <w:div w:id="1408186545">
          <w:marLeft w:val="0"/>
          <w:marRight w:val="0"/>
          <w:marTop w:val="0"/>
          <w:marBottom w:val="0"/>
          <w:divBdr>
            <w:top w:val="none" w:sz="0" w:space="0" w:color="auto"/>
            <w:left w:val="none" w:sz="0" w:space="0" w:color="auto"/>
            <w:bottom w:val="none" w:sz="0" w:space="0" w:color="auto"/>
            <w:right w:val="none" w:sz="0" w:space="0" w:color="auto"/>
          </w:divBdr>
        </w:div>
        <w:div w:id="1891112968">
          <w:marLeft w:val="0"/>
          <w:marRight w:val="0"/>
          <w:marTop w:val="0"/>
          <w:marBottom w:val="0"/>
          <w:divBdr>
            <w:top w:val="none" w:sz="0" w:space="0" w:color="auto"/>
            <w:left w:val="none" w:sz="0" w:space="0" w:color="auto"/>
            <w:bottom w:val="none" w:sz="0" w:space="0" w:color="auto"/>
            <w:right w:val="none" w:sz="0" w:space="0" w:color="auto"/>
          </w:divBdr>
        </w:div>
        <w:div w:id="1891453933">
          <w:marLeft w:val="0"/>
          <w:marRight w:val="0"/>
          <w:marTop w:val="0"/>
          <w:marBottom w:val="0"/>
          <w:divBdr>
            <w:top w:val="none" w:sz="0" w:space="0" w:color="auto"/>
            <w:left w:val="none" w:sz="0" w:space="0" w:color="auto"/>
            <w:bottom w:val="none" w:sz="0" w:space="0" w:color="auto"/>
            <w:right w:val="none" w:sz="0" w:space="0" w:color="auto"/>
          </w:divBdr>
        </w:div>
        <w:div w:id="1347945871">
          <w:marLeft w:val="0"/>
          <w:marRight w:val="0"/>
          <w:marTop w:val="0"/>
          <w:marBottom w:val="0"/>
          <w:divBdr>
            <w:top w:val="none" w:sz="0" w:space="0" w:color="auto"/>
            <w:left w:val="none" w:sz="0" w:space="0" w:color="auto"/>
            <w:bottom w:val="none" w:sz="0" w:space="0" w:color="auto"/>
            <w:right w:val="none" w:sz="0" w:space="0" w:color="auto"/>
          </w:divBdr>
        </w:div>
        <w:div w:id="1102189663">
          <w:marLeft w:val="0"/>
          <w:marRight w:val="0"/>
          <w:marTop w:val="0"/>
          <w:marBottom w:val="0"/>
          <w:divBdr>
            <w:top w:val="none" w:sz="0" w:space="0" w:color="auto"/>
            <w:left w:val="none" w:sz="0" w:space="0" w:color="auto"/>
            <w:bottom w:val="none" w:sz="0" w:space="0" w:color="auto"/>
            <w:right w:val="none" w:sz="0" w:space="0" w:color="auto"/>
          </w:divBdr>
        </w:div>
        <w:div w:id="51588933">
          <w:marLeft w:val="0"/>
          <w:marRight w:val="0"/>
          <w:marTop w:val="0"/>
          <w:marBottom w:val="0"/>
          <w:divBdr>
            <w:top w:val="none" w:sz="0" w:space="0" w:color="auto"/>
            <w:left w:val="none" w:sz="0" w:space="0" w:color="auto"/>
            <w:bottom w:val="none" w:sz="0" w:space="0" w:color="auto"/>
            <w:right w:val="none" w:sz="0" w:space="0" w:color="auto"/>
          </w:divBdr>
        </w:div>
        <w:div w:id="2068261708">
          <w:marLeft w:val="0"/>
          <w:marRight w:val="0"/>
          <w:marTop w:val="0"/>
          <w:marBottom w:val="0"/>
          <w:divBdr>
            <w:top w:val="none" w:sz="0" w:space="0" w:color="auto"/>
            <w:left w:val="none" w:sz="0" w:space="0" w:color="auto"/>
            <w:bottom w:val="none" w:sz="0" w:space="0" w:color="auto"/>
            <w:right w:val="none" w:sz="0" w:space="0" w:color="auto"/>
          </w:divBdr>
        </w:div>
        <w:div w:id="478349204">
          <w:marLeft w:val="0"/>
          <w:marRight w:val="0"/>
          <w:marTop w:val="0"/>
          <w:marBottom w:val="0"/>
          <w:divBdr>
            <w:top w:val="none" w:sz="0" w:space="0" w:color="auto"/>
            <w:left w:val="none" w:sz="0" w:space="0" w:color="auto"/>
            <w:bottom w:val="none" w:sz="0" w:space="0" w:color="auto"/>
            <w:right w:val="none" w:sz="0" w:space="0" w:color="auto"/>
          </w:divBdr>
        </w:div>
        <w:div w:id="1189681046">
          <w:marLeft w:val="0"/>
          <w:marRight w:val="0"/>
          <w:marTop w:val="0"/>
          <w:marBottom w:val="0"/>
          <w:divBdr>
            <w:top w:val="none" w:sz="0" w:space="0" w:color="auto"/>
            <w:left w:val="none" w:sz="0" w:space="0" w:color="auto"/>
            <w:bottom w:val="none" w:sz="0" w:space="0" w:color="auto"/>
            <w:right w:val="none" w:sz="0" w:space="0" w:color="auto"/>
          </w:divBdr>
        </w:div>
        <w:div w:id="1525559715">
          <w:marLeft w:val="0"/>
          <w:marRight w:val="0"/>
          <w:marTop w:val="0"/>
          <w:marBottom w:val="0"/>
          <w:divBdr>
            <w:top w:val="none" w:sz="0" w:space="0" w:color="auto"/>
            <w:left w:val="none" w:sz="0" w:space="0" w:color="auto"/>
            <w:bottom w:val="none" w:sz="0" w:space="0" w:color="auto"/>
            <w:right w:val="none" w:sz="0" w:space="0" w:color="auto"/>
          </w:divBdr>
        </w:div>
      </w:divsChild>
    </w:div>
    <w:div w:id="1427388160">
      <w:bodyDiv w:val="1"/>
      <w:marLeft w:val="0"/>
      <w:marRight w:val="0"/>
      <w:marTop w:val="0"/>
      <w:marBottom w:val="0"/>
      <w:divBdr>
        <w:top w:val="none" w:sz="0" w:space="0" w:color="auto"/>
        <w:left w:val="none" w:sz="0" w:space="0" w:color="auto"/>
        <w:bottom w:val="none" w:sz="0" w:space="0" w:color="auto"/>
        <w:right w:val="none" w:sz="0" w:space="0" w:color="auto"/>
      </w:divBdr>
      <w:divsChild>
        <w:div w:id="2138789175">
          <w:marLeft w:val="0"/>
          <w:marRight w:val="0"/>
          <w:marTop w:val="0"/>
          <w:marBottom w:val="0"/>
          <w:divBdr>
            <w:top w:val="none" w:sz="0" w:space="0" w:color="auto"/>
            <w:left w:val="none" w:sz="0" w:space="0" w:color="auto"/>
            <w:bottom w:val="none" w:sz="0" w:space="0" w:color="auto"/>
            <w:right w:val="none" w:sz="0" w:space="0" w:color="auto"/>
          </w:divBdr>
        </w:div>
        <w:div w:id="1286887447">
          <w:marLeft w:val="0"/>
          <w:marRight w:val="0"/>
          <w:marTop w:val="0"/>
          <w:marBottom w:val="0"/>
          <w:divBdr>
            <w:top w:val="none" w:sz="0" w:space="0" w:color="auto"/>
            <w:left w:val="none" w:sz="0" w:space="0" w:color="auto"/>
            <w:bottom w:val="none" w:sz="0" w:space="0" w:color="auto"/>
            <w:right w:val="none" w:sz="0" w:space="0" w:color="auto"/>
          </w:divBdr>
        </w:div>
        <w:div w:id="2123189461">
          <w:marLeft w:val="0"/>
          <w:marRight w:val="0"/>
          <w:marTop w:val="0"/>
          <w:marBottom w:val="0"/>
          <w:divBdr>
            <w:top w:val="none" w:sz="0" w:space="0" w:color="auto"/>
            <w:left w:val="none" w:sz="0" w:space="0" w:color="auto"/>
            <w:bottom w:val="none" w:sz="0" w:space="0" w:color="auto"/>
            <w:right w:val="none" w:sz="0" w:space="0" w:color="auto"/>
          </w:divBdr>
        </w:div>
        <w:div w:id="822308530">
          <w:marLeft w:val="0"/>
          <w:marRight w:val="0"/>
          <w:marTop w:val="0"/>
          <w:marBottom w:val="0"/>
          <w:divBdr>
            <w:top w:val="none" w:sz="0" w:space="0" w:color="auto"/>
            <w:left w:val="none" w:sz="0" w:space="0" w:color="auto"/>
            <w:bottom w:val="none" w:sz="0" w:space="0" w:color="auto"/>
            <w:right w:val="none" w:sz="0" w:space="0" w:color="auto"/>
          </w:divBdr>
        </w:div>
        <w:div w:id="1094939180">
          <w:marLeft w:val="0"/>
          <w:marRight w:val="0"/>
          <w:marTop w:val="0"/>
          <w:marBottom w:val="0"/>
          <w:divBdr>
            <w:top w:val="none" w:sz="0" w:space="0" w:color="auto"/>
            <w:left w:val="none" w:sz="0" w:space="0" w:color="auto"/>
            <w:bottom w:val="none" w:sz="0" w:space="0" w:color="auto"/>
            <w:right w:val="none" w:sz="0" w:space="0" w:color="auto"/>
          </w:divBdr>
        </w:div>
        <w:div w:id="815073718">
          <w:marLeft w:val="0"/>
          <w:marRight w:val="0"/>
          <w:marTop w:val="0"/>
          <w:marBottom w:val="0"/>
          <w:divBdr>
            <w:top w:val="none" w:sz="0" w:space="0" w:color="auto"/>
            <w:left w:val="none" w:sz="0" w:space="0" w:color="auto"/>
            <w:bottom w:val="none" w:sz="0" w:space="0" w:color="auto"/>
            <w:right w:val="none" w:sz="0" w:space="0" w:color="auto"/>
          </w:divBdr>
        </w:div>
        <w:div w:id="121508311">
          <w:marLeft w:val="0"/>
          <w:marRight w:val="0"/>
          <w:marTop w:val="0"/>
          <w:marBottom w:val="0"/>
          <w:divBdr>
            <w:top w:val="none" w:sz="0" w:space="0" w:color="auto"/>
            <w:left w:val="none" w:sz="0" w:space="0" w:color="auto"/>
            <w:bottom w:val="none" w:sz="0" w:space="0" w:color="auto"/>
            <w:right w:val="none" w:sz="0" w:space="0" w:color="auto"/>
          </w:divBdr>
        </w:div>
        <w:div w:id="2115396089">
          <w:marLeft w:val="0"/>
          <w:marRight w:val="0"/>
          <w:marTop w:val="0"/>
          <w:marBottom w:val="0"/>
          <w:divBdr>
            <w:top w:val="none" w:sz="0" w:space="0" w:color="auto"/>
            <w:left w:val="none" w:sz="0" w:space="0" w:color="auto"/>
            <w:bottom w:val="none" w:sz="0" w:space="0" w:color="auto"/>
            <w:right w:val="none" w:sz="0" w:space="0" w:color="auto"/>
          </w:divBdr>
        </w:div>
        <w:div w:id="604964000">
          <w:marLeft w:val="0"/>
          <w:marRight w:val="0"/>
          <w:marTop w:val="0"/>
          <w:marBottom w:val="0"/>
          <w:divBdr>
            <w:top w:val="none" w:sz="0" w:space="0" w:color="auto"/>
            <w:left w:val="none" w:sz="0" w:space="0" w:color="auto"/>
            <w:bottom w:val="none" w:sz="0" w:space="0" w:color="auto"/>
            <w:right w:val="none" w:sz="0" w:space="0" w:color="auto"/>
          </w:divBdr>
        </w:div>
        <w:div w:id="170726538">
          <w:marLeft w:val="0"/>
          <w:marRight w:val="0"/>
          <w:marTop w:val="0"/>
          <w:marBottom w:val="0"/>
          <w:divBdr>
            <w:top w:val="none" w:sz="0" w:space="0" w:color="auto"/>
            <w:left w:val="none" w:sz="0" w:space="0" w:color="auto"/>
            <w:bottom w:val="none" w:sz="0" w:space="0" w:color="auto"/>
            <w:right w:val="none" w:sz="0" w:space="0" w:color="auto"/>
          </w:divBdr>
        </w:div>
        <w:div w:id="142041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2020-04-26T12:20:00Z</dcterms:created>
  <dcterms:modified xsi:type="dcterms:W3CDTF">2020-04-26T12:21:00Z</dcterms:modified>
</cp:coreProperties>
</file>