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A9" w:rsidRPr="006477A9" w:rsidRDefault="006477A9" w:rsidP="006477A9">
      <w:pPr>
        <w:jc w:val="center"/>
        <w:rPr>
          <w:sz w:val="32"/>
          <w:szCs w:val="32"/>
        </w:rPr>
      </w:pPr>
      <w:bookmarkStart w:id="0" w:name="Anchor1"/>
      <w:bookmarkEnd w:id="0"/>
      <w:r w:rsidRPr="006477A9">
        <w:rPr>
          <w:sz w:val="32"/>
          <w:szCs w:val="32"/>
          <w:rtl/>
        </w:rPr>
        <w:t>الطعن رقم 20</w:t>
      </w:r>
      <w:bookmarkStart w:id="1" w:name="_GoBack"/>
      <w:bookmarkEnd w:id="1"/>
      <w:r w:rsidRPr="006477A9">
        <w:rPr>
          <w:sz w:val="32"/>
          <w:szCs w:val="32"/>
          <w:rtl/>
        </w:rPr>
        <w:t>07/2011</w:t>
      </w:r>
    </w:p>
    <w:p w:rsidR="006477A9" w:rsidRPr="006477A9" w:rsidRDefault="006477A9" w:rsidP="006477A9">
      <w:pPr>
        <w:rPr>
          <w:sz w:val="32"/>
          <w:szCs w:val="32"/>
        </w:rPr>
      </w:pPr>
      <w:bookmarkStart w:id="2" w:name="Anchor6"/>
      <w:bookmarkEnd w:id="2"/>
      <w:r w:rsidRPr="006477A9">
        <w:rPr>
          <w:sz w:val="32"/>
          <w:szCs w:val="32"/>
          <w:rtl/>
        </w:rPr>
        <w:t>هيئة المحكمة</w:t>
      </w:r>
      <w:r w:rsidRPr="006477A9">
        <w:rPr>
          <w:sz w:val="32"/>
          <w:szCs w:val="32"/>
        </w:rPr>
        <w:t xml:space="preserve">: </w:t>
      </w:r>
      <w:r w:rsidRPr="006477A9">
        <w:rPr>
          <w:sz w:val="32"/>
          <w:szCs w:val="32"/>
          <w:rtl/>
        </w:rPr>
        <w:t>برئاسة السيد المستشار أنور على بورسلي وكيل المحكمة وعضوية السادة المستشارين زياد محمد غازي وأحمد علي راجح ومجدى محمد جاد وفيصل عبدالحميد حرحش</w:t>
      </w:r>
    </w:p>
    <w:bookmarkStart w:id="3" w:name="Anchor31"/>
    <w:bookmarkEnd w:id="3"/>
    <w:p w:rsidR="006477A9" w:rsidRPr="006477A9" w:rsidRDefault="006477A9" w:rsidP="006477A9">
      <w:pPr>
        <w:rPr>
          <w:sz w:val="32"/>
          <w:szCs w:val="32"/>
        </w:rPr>
      </w:pPr>
      <w:r w:rsidRPr="006477A9">
        <w:rPr>
          <w:sz w:val="32"/>
          <w:szCs w:val="32"/>
        </w:rPr>
        <w:fldChar w:fldCharType="begin"/>
      </w:r>
      <w:r w:rsidRPr="006477A9">
        <w:rPr>
          <w:sz w:val="32"/>
          <w:szCs w:val="32"/>
        </w:rPr>
        <w:instrText xml:space="preserve"> HYPERLINK "http://www.law.gov.kw/KWT_CC-Ar/00_2014/00_%D8%A7%D9%84%D8%AF%D8%A7%D8%A6%D8%B1%D8%A9%20%D8%A7%D9%84%D8%AA%D8%AC%D8%A7%D8%B1%D9%8A%D8%A9/KWT-CC-Ar_2014-02-19_02007_Taan.html" \l "TM2014_2007_1" </w:instrText>
      </w:r>
      <w:r w:rsidRPr="006477A9">
        <w:rPr>
          <w:sz w:val="32"/>
          <w:szCs w:val="32"/>
        </w:rPr>
        <w:fldChar w:fldCharType="separate"/>
      </w:r>
      <w:r w:rsidRPr="006477A9">
        <w:rPr>
          <w:rStyle w:val="Hyperlink"/>
          <w:sz w:val="32"/>
          <w:szCs w:val="32"/>
        </w:rPr>
        <w:t xml:space="preserve">1- </w:t>
      </w:r>
      <w:r w:rsidRPr="006477A9">
        <w:rPr>
          <w:rStyle w:val="Hyperlink"/>
          <w:sz w:val="32"/>
          <w:szCs w:val="32"/>
          <w:rtl/>
        </w:rPr>
        <w:t>ان الأصل هو حرية المتعاقدين في تعديل قواعد المسؤولية العقدية التي انشأتها ارادتهما الحرة وذلك في حدود القانون والنظام العام</w:t>
      </w:r>
      <w:r w:rsidRPr="006477A9">
        <w:rPr>
          <w:rStyle w:val="Hyperlink"/>
          <w:sz w:val="32"/>
          <w:szCs w:val="32"/>
        </w:rPr>
        <w:t>.</w:t>
      </w:r>
      <w:r w:rsidRPr="006477A9">
        <w:rPr>
          <w:sz w:val="32"/>
          <w:szCs w:val="32"/>
        </w:rPr>
        <w:fldChar w:fldCharType="end"/>
      </w:r>
    </w:p>
    <w:bookmarkStart w:id="4" w:name="Anchor45"/>
    <w:bookmarkEnd w:id="4"/>
    <w:p w:rsidR="006477A9" w:rsidRPr="006477A9" w:rsidRDefault="006477A9" w:rsidP="006477A9">
      <w:pPr>
        <w:rPr>
          <w:sz w:val="32"/>
          <w:szCs w:val="32"/>
        </w:rPr>
      </w:pPr>
      <w:r w:rsidRPr="006477A9">
        <w:rPr>
          <w:sz w:val="32"/>
          <w:szCs w:val="32"/>
        </w:rPr>
        <w:fldChar w:fldCharType="begin"/>
      </w:r>
      <w:r w:rsidRPr="006477A9">
        <w:rPr>
          <w:sz w:val="32"/>
          <w:szCs w:val="32"/>
        </w:rPr>
        <w:instrText xml:space="preserve"> HYPERLINK "http://www.law.gov.kw/KWT_CC-Ar/00_2014/00_%D8%A7%D9%84%D8%AF%D8%A7%D8%A6%D8%B1%D8%A9%20%D8%A7%D9%84%D8%AA%D8%AC%D8%A7%D8%B1%D9%8A%D8%A9/KWT-CC-Ar_2014-02-19_02007_Taan.html" \l "TM2014_2007_2" </w:instrText>
      </w:r>
      <w:r w:rsidRPr="006477A9">
        <w:rPr>
          <w:sz w:val="32"/>
          <w:szCs w:val="32"/>
        </w:rPr>
        <w:fldChar w:fldCharType="separate"/>
      </w:r>
      <w:r w:rsidRPr="006477A9">
        <w:rPr>
          <w:rStyle w:val="Hyperlink"/>
          <w:sz w:val="32"/>
          <w:szCs w:val="32"/>
        </w:rPr>
        <w:t xml:space="preserve">2- </w:t>
      </w:r>
      <w:r w:rsidRPr="006477A9">
        <w:rPr>
          <w:rStyle w:val="Hyperlink"/>
          <w:sz w:val="32"/>
          <w:szCs w:val="32"/>
          <w:rtl/>
        </w:rPr>
        <w:t>ان المقصود بالسرعة المشار اليها في بواليص التأمين هي تلك التي تكون خارجة عن الحدود التي فرضها القانون لا تلك التي تحتملها حالة الطريق في مكان ووقت وقوع الحادث</w:t>
      </w:r>
      <w:r w:rsidRPr="006477A9">
        <w:rPr>
          <w:rStyle w:val="Hyperlink"/>
          <w:sz w:val="32"/>
          <w:szCs w:val="32"/>
        </w:rPr>
        <w:t>.</w:t>
      </w:r>
      <w:r w:rsidRPr="006477A9">
        <w:rPr>
          <w:sz w:val="32"/>
          <w:szCs w:val="32"/>
        </w:rPr>
        <w:fldChar w:fldCharType="end"/>
      </w:r>
    </w:p>
    <w:bookmarkStart w:id="5" w:name="Anchor63"/>
    <w:bookmarkEnd w:id="5"/>
    <w:p w:rsidR="006477A9" w:rsidRPr="006477A9" w:rsidRDefault="006477A9" w:rsidP="006477A9">
      <w:pPr>
        <w:rPr>
          <w:sz w:val="32"/>
          <w:szCs w:val="32"/>
        </w:rPr>
      </w:pPr>
      <w:r w:rsidRPr="006477A9">
        <w:rPr>
          <w:sz w:val="32"/>
          <w:szCs w:val="32"/>
        </w:rPr>
        <w:fldChar w:fldCharType="begin"/>
      </w:r>
      <w:r w:rsidRPr="006477A9">
        <w:rPr>
          <w:sz w:val="32"/>
          <w:szCs w:val="32"/>
        </w:rPr>
        <w:instrText xml:space="preserve"> HYPERLINK "http://www.law.gov.kw/KWT_CC-Ar/00_2014/00_%D8%A7%D9%84%D8%AF%D8%A7%D8%A6%D8%B1%D8%A9%20%D8%A7%D9%84%D8%AA%D8%AC%D8%A7%D8%B1%D9%8A%D8%A9/KWT-CC-Ar_2014-02-19_02007_Taan.html" \l "TM2014_2007_3" </w:instrText>
      </w:r>
      <w:r w:rsidRPr="006477A9">
        <w:rPr>
          <w:sz w:val="32"/>
          <w:szCs w:val="32"/>
        </w:rPr>
        <w:fldChar w:fldCharType="separate"/>
      </w:r>
      <w:r w:rsidRPr="006477A9">
        <w:rPr>
          <w:rStyle w:val="Hyperlink"/>
          <w:sz w:val="32"/>
          <w:szCs w:val="32"/>
        </w:rPr>
        <w:t xml:space="preserve">3- </w:t>
      </w:r>
      <w:r w:rsidRPr="006477A9">
        <w:rPr>
          <w:rStyle w:val="Hyperlink"/>
          <w:sz w:val="32"/>
          <w:szCs w:val="32"/>
          <w:rtl/>
        </w:rPr>
        <w:t>ان الحكم الصادر في المواد الجزائية لا تكون له حجية في الدعوى المدنية فيما لم يفصل فيه فصلاً لازماً في الوقائع المكونة للأساس المشترك بين الدعويين الجزائية والمدنية وفي الوصف القانوني ونسبتها الى فاعلها</w:t>
      </w:r>
      <w:r w:rsidRPr="006477A9">
        <w:rPr>
          <w:rStyle w:val="Hyperlink"/>
          <w:sz w:val="32"/>
          <w:szCs w:val="32"/>
        </w:rPr>
        <w:t>.</w:t>
      </w:r>
      <w:r w:rsidRPr="006477A9">
        <w:rPr>
          <w:sz w:val="32"/>
          <w:szCs w:val="32"/>
        </w:rPr>
        <w:fldChar w:fldCharType="end"/>
      </w:r>
      <w:r w:rsidRPr="006477A9">
        <w:rPr>
          <w:sz w:val="32"/>
          <w:szCs w:val="32"/>
        </w:rPr>
        <w:br/>
      </w:r>
      <w:r w:rsidRPr="006477A9">
        <w:rPr>
          <w:sz w:val="32"/>
          <w:szCs w:val="32"/>
        </w:rPr>
        <w:br/>
      </w:r>
      <w:r w:rsidRPr="006477A9">
        <w:rPr>
          <w:sz w:val="32"/>
          <w:szCs w:val="32"/>
          <w:u w:val="single"/>
          <w:rtl/>
        </w:rPr>
        <w:t>ملاحظة</w:t>
      </w:r>
      <w:r w:rsidRPr="006477A9">
        <w:rPr>
          <w:sz w:val="32"/>
          <w:szCs w:val="32"/>
          <w:u w:val="single"/>
        </w:rPr>
        <w:t xml:space="preserve"> :</w:t>
      </w:r>
      <w:r w:rsidRPr="006477A9">
        <w:rPr>
          <w:sz w:val="32"/>
          <w:szCs w:val="32"/>
        </w:rPr>
        <w:br/>
      </w:r>
      <w:r w:rsidRPr="006477A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477A9" w:rsidRPr="006477A9" w:rsidRDefault="006477A9" w:rsidP="006477A9">
      <w:pPr>
        <w:rPr>
          <w:sz w:val="32"/>
          <w:szCs w:val="32"/>
        </w:rPr>
      </w:pPr>
      <w:bookmarkStart w:id="6" w:name="Anchor84"/>
      <w:bookmarkEnd w:id="6"/>
      <w:r w:rsidRPr="006477A9">
        <w:rPr>
          <w:b/>
          <w:bCs/>
          <w:sz w:val="32"/>
          <w:szCs w:val="32"/>
          <w:rtl/>
        </w:rPr>
        <w:t>المحكمة</w:t>
      </w:r>
    </w:p>
    <w:p w:rsidR="006477A9" w:rsidRPr="006477A9" w:rsidRDefault="006477A9" w:rsidP="006477A9">
      <w:pPr>
        <w:rPr>
          <w:sz w:val="32"/>
          <w:szCs w:val="32"/>
        </w:rPr>
      </w:pPr>
      <w:bookmarkStart w:id="7" w:name="Anchor85"/>
      <w:bookmarkEnd w:id="7"/>
      <w:r w:rsidRPr="006477A9">
        <w:rPr>
          <w:sz w:val="32"/>
          <w:szCs w:val="32"/>
          <w:rtl/>
        </w:rPr>
        <w:t>بعد الاطلاع على الأوراق ، وسماع المرافعة الشفوية، وبعد المداولة</w:t>
      </w:r>
      <w:r w:rsidRPr="006477A9">
        <w:rPr>
          <w:sz w:val="32"/>
          <w:szCs w:val="32"/>
        </w:rPr>
        <w:t>.</w:t>
      </w:r>
    </w:p>
    <w:p w:rsidR="006477A9" w:rsidRPr="006477A9" w:rsidRDefault="006477A9" w:rsidP="006477A9">
      <w:pPr>
        <w:rPr>
          <w:sz w:val="32"/>
          <w:szCs w:val="32"/>
        </w:rPr>
      </w:pPr>
      <w:bookmarkStart w:id="8" w:name="Anchor93"/>
      <w:bookmarkEnd w:id="8"/>
      <w:r w:rsidRPr="006477A9">
        <w:rPr>
          <w:sz w:val="32"/>
          <w:szCs w:val="32"/>
          <w:rtl/>
        </w:rPr>
        <w:t>حيث إن الطعن إستوفى أوضاعه الشكلية</w:t>
      </w:r>
      <w:r w:rsidRPr="006477A9">
        <w:rPr>
          <w:sz w:val="32"/>
          <w:szCs w:val="32"/>
        </w:rPr>
        <w:t>.</w:t>
      </w:r>
    </w:p>
    <w:p w:rsidR="006477A9" w:rsidRPr="006477A9" w:rsidRDefault="006477A9" w:rsidP="006477A9">
      <w:pPr>
        <w:rPr>
          <w:sz w:val="32"/>
          <w:szCs w:val="32"/>
        </w:rPr>
      </w:pPr>
      <w:bookmarkStart w:id="9" w:name="Anchor98"/>
      <w:bookmarkEnd w:id="9"/>
      <w:r w:rsidRPr="006477A9">
        <w:rPr>
          <w:sz w:val="32"/>
          <w:szCs w:val="32"/>
          <w:rtl/>
        </w:rPr>
        <w:t xml:space="preserve">وحيث إن الوقائع </w:t>
      </w:r>
      <w:r w:rsidRPr="006477A9">
        <w:rPr>
          <w:sz w:val="32"/>
          <w:szCs w:val="32"/>
        </w:rPr>
        <w:t xml:space="preserve">– </w:t>
      </w:r>
      <w:r w:rsidRPr="006477A9">
        <w:rPr>
          <w:sz w:val="32"/>
          <w:szCs w:val="32"/>
          <w:rtl/>
        </w:rPr>
        <w:t xml:space="preserve">على ما يبين من الحكم المطعون فيه وسائر الأوراق </w:t>
      </w:r>
      <w:r w:rsidRPr="006477A9">
        <w:rPr>
          <w:sz w:val="32"/>
          <w:szCs w:val="32"/>
        </w:rPr>
        <w:t xml:space="preserve">– </w:t>
      </w:r>
      <w:r w:rsidRPr="006477A9">
        <w:rPr>
          <w:sz w:val="32"/>
          <w:szCs w:val="32"/>
          <w:rtl/>
        </w:rPr>
        <w:t xml:space="preserve">تتحصل في أن الشركة المطعون ضدها الأولى أقامت الدعوى رقم </w:t>
      </w:r>
      <w:r w:rsidRPr="006477A9">
        <w:rPr>
          <w:sz w:val="32"/>
          <w:szCs w:val="32"/>
        </w:rPr>
        <w:t xml:space="preserve">4067 </w:t>
      </w:r>
      <w:r w:rsidRPr="006477A9">
        <w:rPr>
          <w:sz w:val="32"/>
          <w:szCs w:val="32"/>
          <w:rtl/>
        </w:rPr>
        <w:t xml:space="preserve">لسنة </w:t>
      </w:r>
      <w:r w:rsidRPr="006477A9">
        <w:rPr>
          <w:sz w:val="32"/>
          <w:szCs w:val="32"/>
        </w:rPr>
        <w:t xml:space="preserve">2010 </w:t>
      </w:r>
      <w:r w:rsidRPr="006477A9">
        <w:rPr>
          <w:sz w:val="32"/>
          <w:szCs w:val="32"/>
          <w:rtl/>
        </w:rPr>
        <w:t>تجاري كلي على الطاعن والمطعون ضده الثاني بطلب الحكم بإلزامهما على سبيل التضامن بأن يؤديا لها مبلغ 27689 د.ك</w:t>
      </w:r>
      <w:r w:rsidRPr="006477A9">
        <w:rPr>
          <w:sz w:val="32"/>
          <w:szCs w:val="32"/>
        </w:rPr>
        <w:t xml:space="preserve"> ....</w:t>
      </w:r>
      <w:r w:rsidRPr="006477A9">
        <w:rPr>
          <w:sz w:val="32"/>
          <w:szCs w:val="32"/>
          <w:rtl/>
        </w:rPr>
        <w:t xml:space="preserve">، وذلك على سند من القول أنه بموجب وثيقة التـأمين رقم </w:t>
      </w:r>
      <w:r w:rsidRPr="006477A9">
        <w:rPr>
          <w:sz w:val="32"/>
          <w:szCs w:val="32"/>
        </w:rPr>
        <w:t xml:space="preserve">070584000564 </w:t>
      </w:r>
      <w:r w:rsidRPr="006477A9">
        <w:rPr>
          <w:sz w:val="32"/>
          <w:szCs w:val="32"/>
          <w:rtl/>
        </w:rPr>
        <w:t xml:space="preserve">المؤرخة 2005/7/26 أمنت ضد الغير على السيارة رقم 0109889 العاصمة باسم الطاعن على أن تبدأ مدة التغطية التأمينية إعتباراً من </w:t>
      </w:r>
      <w:r w:rsidRPr="006477A9">
        <w:rPr>
          <w:sz w:val="32"/>
          <w:szCs w:val="32"/>
        </w:rPr>
        <w:t xml:space="preserve">2005/7/28 </w:t>
      </w:r>
      <w:r w:rsidRPr="006477A9">
        <w:rPr>
          <w:sz w:val="32"/>
          <w:szCs w:val="32"/>
          <w:rtl/>
        </w:rPr>
        <w:t xml:space="preserve">وتنتهي في 2006/7/27 وأثناء سريان التغطية التأمينية أسند الأدعاء العام إلى المطعون ضده الثاني بتاريخ 2006/5/3 بمقتضى القضية رقم 248 لسنة 2006 جنح مرور الفنطاس الإتهام بقيادة السيارة المؤمن </w:t>
      </w:r>
      <w:r w:rsidRPr="006477A9">
        <w:rPr>
          <w:sz w:val="32"/>
          <w:szCs w:val="32"/>
          <w:rtl/>
        </w:rPr>
        <w:lastRenderedPageBreak/>
        <w:t xml:space="preserve">عليها لديها مرتكبا مخالفة قيادة سيارة بإهمال وبسرعة تجاوز الحد الأقصى المقرر فصدم سيارة المجني عليه الواقفة على يمين الطريق متسبباً في انقلابها فتسبب عن غير قصد في قتل المجنى عليه </w:t>
      </w:r>
      <w:r w:rsidRPr="006477A9">
        <w:rPr>
          <w:sz w:val="32"/>
          <w:szCs w:val="32"/>
        </w:rPr>
        <w:t xml:space="preserve">.......... </w:t>
      </w:r>
      <w:r w:rsidRPr="006477A9">
        <w:rPr>
          <w:sz w:val="32"/>
          <w:szCs w:val="32"/>
          <w:rtl/>
        </w:rPr>
        <w:t xml:space="preserve">والحاق أضرار مادية بسيارة المجني عليه من جراء خطأه سالف الذكر وإذ أدين جنائياً وأحيلت الدعوى المدنية إلى الدائرة المدنية حيث قيدت برقم 2266 لسنة 2007 مدني كلي وقد قضى فيها نهائياً بإلزام الشركة المطعون ضدها الأولى بأن تؤدي لورثة المتوفي تعويضاً مقداره 2600 د.ك قامت الأخيرة بسداده كاملاً للورثة كما سددت مبلغ 879 د.ك إلى شركة الخليج للتأمين بإعتبارها الشركة المؤمنة على السيارة المتضررة بالحادث وتحصلت منها على إيصال مخالصة وحوالة حق ، ولما كان المطعون ضده الثاني هو المتسبب في وقوع الحادث بما تتوافر في جانيه المسئولية التقصيرية وإذ كان الطاعن هو المؤمن له فإن مسئوليته العقدية تكون قد توافرت عملاً بالمواد 368 ، 394 ، 396 من القانون المدني والمادة </w:t>
      </w:r>
      <w:r w:rsidRPr="006477A9">
        <w:rPr>
          <w:sz w:val="32"/>
          <w:szCs w:val="32"/>
        </w:rPr>
        <w:t xml:space="preserve">– 75 </w:t>
      </w:r>
      <w:r w:rsidRPr="006477A9">
        <w:rPr>
          <w:sz w:val="32"/>
          <w:szCs w:val="32"/>
          <w:rtl/>
        </w:rPr>
        <w:t>من القرار رقم 81 من اللائحة التنفيذية من قانون المرور رقم 67 لسنة 1976 ومن ثم أقامت الدعوى وبتاريخ 2011/1/20 حكمت المحكمة بإلزام الطاعن والمطعون ضده الثاني على سبيل التضامم بأن يؤديا للشركة المطعون ضدها الأولى مبلغ 27.689 د.ك ، استأنف الطاعن هذا الحكم بالإستئناف رقم 794 لسنة 2011 تجاري وبتاريخ 2011/11/21 قضت المحكمة بتأييد الحكم المستأنف، طعن الطاعن على هذا الحكم بطريق التمييز بالطعن الماثل وقدمت النيابة مذكرة ابدت فيها الرأي برفض الطعن، وإذ عُرض الطعن على المحكمة من غرفة المشورة تحددت جلسة لنظره وفيها التزمت النيابة الرأي</w:t>
      </w:r>
      <w:r w:rsidRPr="006477A9">
        <w:rPr>
          <w:sz w:val="32"/>
          <w:szCs w:val="32"/>
        </w:rPr>
        <w:t>.</w:t>
      </w:r>
    </w:p>
    <w:p w:rsidR="006477A9" w:rsidRPr="006477A9" w:rsidRDefault="006477A9" w:rsidP="006477A9">
      <w:pPr>
        <w:rPr>
          <w:sz w:val="32"/>
          <w:szCs w:val="32"/>
        </w:rPr>
      </w:pPr>
      <w:bookmarkStart w:id="10" w:name="Anchor284"/>
      <w:bookmarkEnd w:id="10"/>
      <w:r w:rsidRPr="006477A9">
        <w:rPr>
          <w:sz w:val="32"/>
          <w:szCs w:val="32"/>
          <w:rtl/>
        </w:rPr>
        <w:t xml:space="preserve">وحيث إن مما ينعاه الطاعن على الحكم المطعون فيه مخالفة القانون والخطأ في تطبيقه والقصور في التسبيب والإخلال بحق الدفاع وفي بيان ذلك يقول أن الشركة المطعون ضدها الأولى بإعتبارها المؤمن أقات دعواها بالرجوع على الطاعن بما ادته من تعويض للمضرور على أساس المسئولية العقدية بموجب وثيقة التأمين المبرمة بينهما ومن ثم فإن أحقيتها في الرجوع بما أدته للمضرور تكون على المخطئ المتسبب في وقوع الحادث دون المؤمن له بإعتبار أنه لم يخطئ خطأ شخصياً سبب ضرر للغير ودليل ذلك أن الحكم الجزائي الصادر في القضية رقم </w:t>
      </w:r>
      <w:r w:rsidRPr="006477A9">
        <w:rPr>
          <w:sz w:val="32"/>
          <w:szCs w:val="32"/>
        </w:rPr>
        <w:t xml:space="preserve">2548 </w:t>
      </w:r>
      <w:r w:rsidRPr="006477A9">
        <w:rPr>
          <w:sz w:val="32"/>
          <w:szCs w:val="32"/>
          <w:rtl/>
        </w:rPr>
        <w:t xml:space="preserve">لسنة 2006 جنح مرور الفنطاس الصادر بجلسة </w:t>
      </w:r>
      <w:r w:rsidRPr="006477A9">
        <w:rPr>
          <w:sz w:val="32"/>
          <w:szCs w:val="32"/>
        </w:rPr>
        <w:t xml:space="preserve">2007/4/14 </w:t>
      </w:r>
      <w:r w:rsidRPr="006477A9">
        <w:rPr>
          <w:sz w:val="32"/>
          <w:szCs w:val="32"/>
          <w:rtl/>
        </w:rPr>
        <w:t>المؤيد بالحكم الصادر في المعارضة المؤرخة 2007/4/28 والذي صار باتاً بفوات ميعاد الطعن عليه والذي قضى بإدانة المطعون ضده الثاني قائد السيارة وقت وقوع الحادث لم ينسب إليه ثمة خطأ أو تقصير شخصي ولم يقضي عليه بشئ ومن ثم تنتفي أحقية الشركة المؤمنة في الرجوع عليه بما أدته من تعويض للمضورين وإذ خالف الحكم المطعون فيه هذا النظر فإنه يكون معيباً بما يستوجب تمييزه</w:t>
      </w:r>
      <w:r w:rsidRPr="006477A9">
        <w:rPr>
          <w:sz w:val="32"/>
          <w:szCs w:val="32"/>
        </w:rPr>
        <w:t>.</w:t>
      </w:r>
    </w:p>
    <w:p w:rsidR="006477A9" w:rsidRPr="006477A9" w:rsidRDefault="006477A9" w:rsidP="006477A9">
      <w:pPr>
        <w:rPr>
          <w:sz w:val="32"/>
          <w:szCs w:val="32"/>
        </w:rPr>
      </w:pPr>
      <w:bookmarkStart w:id="11" w:name="Anchor369"/>
      <w:bookmarkEnd w:id="11"/>
      <w:r w:rsidRPr="006477A9">
        <w:rPr>
          <w:sz w:val="32"/>
          <w:szCs w:val="32"/>
          <w:rtl/>
        </w:rPr>
        <w:t xml:space="preserve">وحيث إن هذا النعي في محله ..... ذلك أن المقرر </w:t>
      </w:r>
      <w:r w:rsidRPr="006477A9">
        <w:rPr>
          <w:sz w:val="32"/>
          <w:szCs w:val="32"/>
        </w:rPr>
        <w:t xml:space="preserve">– </w:t>
      </w:r>
      <w:r w:rsidRPr="006477A9">
        <w:rPr>
          <w:sz w:val="32"/>
          <w:szCs w:val="32"/>
          <w:rtl/>
        </w:rPr>
        <w:t xml:space="preserve">في قضاء هذه المحكمة </w:t>
      </w:r>
      <w:r w:rsidRPr="006477A9">
        <w:rPr>
          <w:sz w:val="32"/>
          <w:szCs w:val="32"/>
        </w:rPr>
        <w:t>–</w:t>
      </w:r>
      <w:bookmarkStart w:id="12" w:name="TM2014_2007_1"/>
      <w:bookmarkEnd w:id="12"/>
      <w:r w:rsidRPr="006477A9">
        <w:rPr>
          <w:b/>
          <w:bCs/>
          <w:sz w:val="32"/>
          <w:szCs w:val="32"/>
          <w:rtl/>
        </w:rPr>
        <w:t>أن الأصل هو حرية المتعاقدين في تعديل قواعد المسؤلية العقدية التي أنشأتها إرادتهما الحرة وذلك في حدود القانون والنظام العام،</w:t>
      </w:r>
      <w:r w:rsidRPr="006477A9">
        <w:rPr>
          <w:sz w:val="32"/>
          <w:szCs w:val="32"/>
          <w:rtl/>
        </w:rPr>
        <w:t xml:space="preserve"> وأخذاً بهذا الأصل نصت المادة </w:t>
      </w:r>
      <w:r w:rsidRPr="006477A9">
        <w:rPr>
          <w:sz w:val="32"/>
          <w:szCs w:val="32"/>
        </w:rPr>
        <w:t xml:space="preserve">– 75 </w:t>
      </w:r>
      <w:r w:rsidRPr="006477A9">
        <w:rPr>
          <w:sz w:val="32"/>
          <w:szCs w:val="32"/>
          <w:rtl/>
        </w:rPr>
        <w:t xml:space="preserve">من اللائحة التنفيذية لقانون المرور الصادر بقرار وزير الداخلية رقم </w:t>
      </w:r>
      <w:r w:rsidRPr="006477A9">
        <w:rPr>
          <w:sz w:val="32"/>
          <w:szCs w:val="32"/>
        </w:rPr>
        <w:t xml:space="preserve">81 </w:t>
      </w:r>
      <w:r w:rsidRPr="006477A9">
        <w:rPr>
          <w:sz w:val="32"/>
          <w:szCs w:val="32"/>
          <w:rtl/>
        </w:rPr>
        <w:t xml:space="preserve">لسنة 1976 على أنه </w:t>
      </w:r>
      <w:r w:rsidRPr="006477A9">
        <w:rPr>
          <w:sz w:val="32"/>
          <w:szCs w:val="32"/>
        </w:rPr>
        <w:t>"</w:t>
      </w:r>
      <w:r w:rsidRPr="006477A9">
        <w:rPr>
          <w:sz w:val="32"/>
          <w:szCs w:val="32"/>
          <w:rtl/>
        </w:rPr>
        <w:t xml:space="preserve">يجوز أن تتضمن الوثيقة قيوداً معقولة على المؤمن له بالنسبة لاستعمال المركبة وقيادتها بشرط ألا يتعارض مع نصوص قانون المرور وقراراته، فإذا أخل المؤمن له بتلك الواجبات أو القيود كان للمؤمن حق الرجوع عليه لإسترداد ما يكون قد دفعه من تعويض، وكان قضاء هذه المحكمة قد استقر على </w:t>
      </w:r>
      <w:bookmarkStart w:id="13" w:name="TM2014_2007_2"/>
      <w:bookmarkEnd w:id="13"/>
      <w:r w:rsidRPr="006477A9">
        <w:rPr>
          <w:b/>
          <w:bCs/>
          <w:sz w:val="32"/>
          <w:szCs w:val="32"/>
          <w:rtl/>
        </w:rPr>
        <w:t xml:space="preserve">أن المقصود بالسرعة المشار إليها بوثيقة التأمين، هي تلك التى تكون خارجة عن الحدود التي فرضها القانون لا تلك التي تحتملها حالة الطريق في مكان ووقت وقوع الحادث، </w:t>
      </w:r>
      <w:r w:rsidRPr="006477A9">
        <w:rPr>
          <w:sz w:val="32"/>
          <w:szCs w:val="32"/>
          <w:rtl/>
        </w:rPr>
        <w:t xml:space="preserve">وإذ كان النص في المادة </w:t>
      </w:r>
      <w:r w:rsidRPr="006477A9">
        <w:rPr>
          <w:sz w:val="32"/>
          <w:szCs w:val="32"/>
        </w:rPr>
        <w:t xml:space="preserve">– 54 </w:t>
      </w:r>
      <w:r w:rsidRPr="006477A9">
        <w:rPr>
          <w:sz w:val="32"/>
          <w:szCs w:val="32"/>
          <w:rtl/>
        </w:rPr>
        <w:t>من المرسوم بقانون رقم 39 لسنة 1980 بشأن الأثبات في المواد المدنية والتجارية على أنه "لا يرتبط القاضي المدني بالحكم الجزائي إلا في الوقائع التي فصل فيها هذا الحكم وكان فصله فيها ضرورياً</w:t>
      </w:r>
      <w:r w:rsidRPr="006477A9">
        <w:rPr>
          <w:sz w:val="32"/>
          <w:szCs w:val="32"/>
        </w:rPr>
        <w:t>.... "</w:t>
      </w:r>
      <w:r w:rsidRPr="006477A9">
        <w:rPr>
          <w:sz w:val="32"/>
          <w:szCs w:val="32"/>
          <w:rtl/>
        </w:rPr>
        <w:t xml:space="preserve">مفاده </w:t>
      </w:r>
      <w:bookmarkStart w:id="14" w:name="TM2014_2007_3"/>
      <w:bookmarkEnd w:id="14"/>
      <w:r w:rsidRPr="006477A9">
        <w:rPr>
          <w:b/>
          <w:bCs/>
          <w:sz w:val="32"/>
          <w:szCs w:val="32"/>
          <w:rtl/>
        </w:rPr>
        <w:t>أن الحكم الصادر في المواد الجزائية لا تكون له حجية في الدعوى المدنية فيما لم يفصل فيه فصلاً لازماً في الوقائع المكونة للأساس المشترك بين الدعويين الجزائية والمدنية وفي الوصف القانوني منها ونسبتها إلى فاعلها، وعندئذ يكون للمحكمة المدنية أن تعيد بحثها عند الفصل في الحقوق المدنية المتعلقة بها</w:t>
      </w:r>
      <w:r w:rsidRPr="006477A9">
        <w:rPr>
          <w:b/>
          <w:bCs/>
          <w:sz w:val="32"/>
          <w:szCs w:val="32"/>
        </w:rPr>
        <w:t>....</w:t>
      </w:r>
    </w:p>
    <w:p w:rsidR="006477A9" w:rsidRPr="006477A9" w:rsidRDefault="006477A9" w:rsidP="006477A9">
      <w:pPr>
        <w:rPr>
          <w:sz w:val="32"/>
          <w:szCs w:val="32"/>
        </w:rPr>
      </w:pPr>
      <w:bookmarkStart w:id="15" w:name="Anchor497"/>
      <w:bookmarkEnd w:id="15"/>
      <w:r w:rsidRPr="006477A9">
        <w:rPr>
          <w:sz w:val="32"/>
          <w:szCs w:val="32"/>
          <w:rtl/>
        </w:rPr>
        <w:t>لما كان ذلك وكان البين من الحكم الجزائي الذي دان المطعون ضده الثاني أنه أقام قضاءه على أن الأخير قاد السيارة بسرعة تجاوز الحد الأقصى ولم يعطى حق الأولوية للمجنى عليه في دخول التقاطع دون أن يعرض الحكم لكون هذه السرعة تزيد عن الحدود المفروضة قانوناً أو لا تزيد المر الذي لا يكون معه الحكم الجزائي قد دان المطعون ضده الثاني عن قيادته السيارة بسرعة تجاوز الحدود التي فرضها القانون ولوائحه وهي الحالة التي تجيز للمؤمن الحق في الرجوع على المؤمن له طبقاً لنص وثيقة التأمين وكان الحكم المطعون فيه قد خالف هذا النظر وأجاز للشركة المطعون ضدها الأولى الرجوع على الطاعن بقيمة ما دفعته من تعويض تأسيساً على أنه ثبت من الحكم الجزائي، أن الحادث موضوع الدعوى قد وقع لأسباب منها السرعة الزائدة عن الحد الأقصى المقرر من تابعه فإن الحكم المطعون فيه يكون قد أخطأ في تطبيق القانون بما يوجب تمييزه دون حاجة لبحث باقي أسباب الطعن</w:t>
      </w:r>
      <w:r w:rsidRPr="006477A9">
        <w:rPr>
          <w:sz w:val="32"/>
          <w:szCs w:val="32"/>
        </w:rPr>
        <w:t>.</w:t>
      </w:r>
    </w:p>
    <w:p w:rsidR="006477A9" w:rsidRPr="006477A9" w:rsidRDefault="006477A9" w:rsidP="006477A9">
      <w:pPr>
        <w:rPr>
          <w:sz w:val="32"/>
          <w:szCs w:val="32"/>
        </w:rPr>
      </w:pPr>
      <w:bookmarkStart w:id="16" w:name="Anchor574"/>
      <w:bookmarkEnd w:id="16"/>
      <w:r w:rsidRPr="006477A9">
        <w:rPr>
          <w:sz w:val="32"/>
          <w:szCs w:val="32"/>
          <w:rtl/>
        </w:rPr>
        <w:t>وحيث أنه عن موضوع الإستئناف رقم 794 لسنة 2011 تجاري ولما تقدم من أسباب وإذ لم يثبت من الأوراق أن الحادث وقع نتيجة السرعة الزائدة عن الحدود التي فرضها قانون المرور ولوائحه فإن البند (د) من الشرط الخامس من الشروط العامة الواردة بوثيقة التأمين محل التداعي والذي يجيز لشركة التأمين الرجوع بقيمة ما تكون قد أدته من تعويض على المؤمن له إذا وقع الحادث بسبب قيادة السيارة بسرعة تزيد عن الحد المسموح به في قانون المرور ولوائحه لا يكون قد تحقق ولا يكون لتلك الشركة بالتالي الإستناد في دعواها إليه سواء وقع المؤمن له على الشروط العامة أنفة الذكر أم لم يوقع وإذ خالف الحكم المستأنف هذا النظر فإنه يكون معيباً بما يوجب الغاءه والقضاء برفض دعوى الشركة المؤمنة قبل الطاعنة ويمتد ذلك إلى المطعون ضده الثاني لإلتزامه مع الطاعن بالتضامن</w:t>
      </w:r>
      <w:r w:rsidRPr="006477A9">
        <w:rPr>
          <w:sz w:val="32"/>
          <w:szCs w:val="32"/>
        </w:rPr>
        <w:t>.</w:t>
      </w:r>
    </w:p>
    <w:p w:rsidR="006477A9" w:rsidRPr="006477A9" w:rsidRDefault="006477A9" w:rsidP="006477A9">
      <w:pPr>
        <w:rPr>
          <w:sz w:val="32"/>
          <w:szCs w:val="32"/>
        </w:rPr>
      </w:pPr>
      <w:bookmarkStart w:id="17" w:name="Anchor641"/>
      <w:bookmarkEnd w:id="17"/>
      <w:r w:rsidRPr="006477A9">
        <w:rPr>
          <w:sz w:val="32"/>
          <w:szCs w:val="32"/>
          <w:rtl/>
        </w:rPr>
        <w:t xml:space="preserve">وحيث أنه عن المصاريف فالمحكمة تلزم بها الشركة المطعون ضدها اولى عنوانها الدعوى عملاً بنص المادتين </w:t>
      </w:r>
      <w:r w:rsidRPr="006477A9">
        <w:rPr>
          <w:sz w:val="32"/>
          <w:szCs w:val="32"/>
        </w:rPr>
        <w:t>119</w:t>
      </w:r>
      <w:r w:rsidRPr="006477A9">
        <w:rPr>
          <w:sz w:val="32"/>
          <w:szCs w:val="32"/>
          <w:rtl/>
        </w:rPr>
        <w:t xml:space="preserve">، </w:t>
      </w:r>
      <w:r w:rsidRPr="006477A9">
        <w:rPr>
          <w:sz w:val="32"/>
          <w:szCs w:val="32"/>
        </w:rPr>
        <w:t xml:space="preserve">147 </w:t>
      </w:r>
      <w:r w:rsidRPr="006477A9">
        <w:rPr>
          <w:sz w:val="32"/>
          <w:szCs w:val="32"/>
          <w:rtl/>
        </w:rPr>
        <w:t>عن قانون المرافعات</w:t>
      </w:r>
      <w:r w:rsidRPr="006477A9">
        <w:rPr>
          <w:sz w:val="32"/>
          <w:szCs w:val="32"/>
        </w:rPr>
        <w:t>.</w:t>
      </w:r>
    </w:p>
    <w:p w:rsidR="006477A9" w:rsidRPr="006477A9" w:rsidRDefault="006477A9" w:rsidP="006477A9">
      <w:pPr>
        <w:rPr>
          <w:sz w:val="32"/>
          <w:szCs w:val="32"/>
        </w:rPr>
      </w:pPr>
      <w:bookmarkStart w:id="18" w:name="Anchor653"/>
      <w:bookmarkEnd w:id="18"/>
      <w:r w:rsidRPr="006477A9">
        <w:rPr>
          <w:sz w:val="32"/>
          <w:szCs w:val="32"/>
          <w:rtl/>
        </w:rPr>
        <w:t>لـــــــذلك</w:t>
      </w:r>
    </w:p>
    <w:p w:rsidR="006477A9" w:rsidRPr="006477A9" w:rsidRDefault="006477A9" w:rsidP="006477A9">
      <w:pPr>
        <w:rPr>
          <w:sz w:val="32"/>
          <w:szCs w:val="32"/>
        </w:rPr>
      </w:pPr>
      <w:bookmarkStart w:id="19" w:name="Anchor654"/>
      <w:bookmarkEnd w:id="19"/>
      <w:r w:rsidRPr="006477A9">
        <w:rPr>
          <w:sz w:val="32"/>
          <w:szCs w:val="32"/>
          <w:rtl/>
        </w:rPr>
        <w:t>حكمت المحكمة أولاً</w:t>
      </w:r>
      <w:r w:rsidRPr="006477A9">
        <w:rPr>
          <w:sz w:val="32"/>
          <w:szCs w:val="32"/>
        </w:rPr>
        <w:t xml:space="preserve">:- </w:t>
      </w:r>
      <w:r w:rsidRPr="006477A9">
        <w:rPr>
          <w:sz w:val="32"/>
          <w:szCs w:val="32"/>
          <w:rtl/>
        </w:rPr>
        <w:t>بقبول الطعن شكلاً</w:t>
      </w:r>
      <w:r w:rsidRPr="006477A9">
        <w:rPr>
          <w:sz w:val="32"/>
          <w:szCs w:val="32"/>
        </w:rPr>
        <w:t>.</w:t>
      </w:r>
    </w:p>
    <w:p w:rsidR="006477A9" w:rsidRPr="006477A9" w:rsidRDefault="006477A9" w:rsidP="006477A9">
      <w:pPr>
        <w:rPr>
          <w:sz w:val="32"/>
          <w:szCs w:val="32"/>
        </w:rPr>
      </w:pPr>
      <w:bookmarkStart w:id="20" w:name="Anchor660"/>
      <w:bookmarkEnd w:id="20"/>
      <w:r w:rsidRPr="006477A9">
        <w:rPr>
          <w:sz w:val="32"/>
          <w:szCs w:val="32"/>
          <w:rtl/>
        </w:rPr>
        <w:t>ثانياً</w:t>
      </w:r>
      <w:r w:rsidRPr="006477A9">
        <w:rPr>
          <w:sz w:val="32"/>
          <w:szCs w:val="32"/>
        </w:rPr>
        <w:t xml:space="preserve">:- </w:t>
      </w:r>
      <w:r w:rsidRPr="006477A9">
        <w:rPr>
          <w:sz w:val="32"/>
          <w:szCs w:val="32"/>
          <w:rtl/>
        </w:rPr>
        <w:t>وفي الموضوع بتمييز الحكم المطعون فيه في خصوص ما قضى به من إلزام الطاعن برد مبلغ التعويض بالتضامم مع المطعون ضده الثاني للشركة المطعون ضدها الأولى وألزمت الأخيرة المصروفات ومبلغ عشرين دينار مقابل أتعاب المحاماة</w:t>
      </w:r>
      <w:r w:rsidRPr="006477A9">
        <w:rPr>
          <w:sz w:val="32"/>
          <w:szCs w:val="32"/>
        </w:rPr>
        <w:t>.</w:t>
      </w:r>
    </w:p>
    <w:p w:rsidR="006477A9" w:rsidRPr="006477A9" w:rsidRDefault="006477A9" w:rsidP="006477A9">
      <w:pPr>
        <w:rPr>
          <w:sz w:val="32"/>
          <w:szCs w:val="32"/>
        </w:rPr>
      </w:pPr>
      <w:bookmarkStart w:id="21" w:name="Anchor681"/>
      <w:bookmarkEnd w:id="21"/>
      <w:r w:rsidRPr="006477A9">
        <w:rPr>
          <w:sz w:val="32"/>
          <w:szCs w:val="32"/>
          <w:rtl/>
        </w:rPr>
        <w:t>ثالثاً</w:t>
      </w:r>
      <w:r w:rsidRPr="006477A9">
        <w:rPr>
          <w:sz w:val="32"/>
          <w:szCs w:val="32"/>
        </w:rPr>
        <w:t xml:space="preserve">: </w:t>
      </w:r>
      <w:r w:rsidRPr="006477A9">
        <w:rPr>
          <w:sz w:val="32"/>
          <w:szCs w:val="32"/>
          <w:rtl/>
        </w:rPr>
        <w:t>في الإستئناف رقم 794 لسنة 2011 تجاري بإلغاء الحكم المستأنف في خصوص ما تم تمييزه والقضاء برفض دعوى الشركة المستأنف ضدها الأولى وألزمت الشركة المستأنف ضدها الأولى المصروفات عن درجتي التقاضي ومبلغ عشرة دنانير مقابل أتعاب المحاماة</w:t>
      </w:r>
      <w:r w:rsidRPr="006477A9">
        <w:rPr>
          <w:sz w:val="32"/>
          <w:szCs w:val="32"/>
        </w:rPr>
        <w:t>.</w:t>
      </w:r>
    </w:p>
    <w:p w:rsidR="006477A9" w:rsidRPr="006477A9" w:rsidRDefault="006477A9" w:rsidP="006477A9">
      <w:pPr>
        <w:rPr>
          <w:sz w:val="32"/>
          <w:szCs w:val="32"/>
        </w:rPr>
      </w:pPr>
    </w:p>
    <w:p w:rsidR="006477A9" w:rsidRPr="006477A9" w:rsidRDefault="006477A9" w:rsidP="006477A9">
      <w:pPr>
        <w:rPr>
          <w:sz w:val="32"/>
          <w:szCs w:val="32"/>
        </w:rPr>
      </w:pPr>
      <w:bookmarkStart w:id="22" w:name="Anchor704"/>
      <w:bookmarkEnd w:id="22"/>
      <w:r w:rsidRPr="006477A9">
        <w:rPr>
          <w:sz w:val="32"/>
          <w:szCs w:val="32"/>
        </w:rPr>
        <w:t>* * *</w:t>
      </w:r>
    </w:p>
    <w:p w:rsidR="00D32E0F" w:rsidRPr="006477A9" w:rsidRDefault="00D32E0F">
      <w:pPr>
        <w:rPr>
          <w:sz w:val="32"/>
          <w:szCs w:val="32"/>
        </w:rPr>
      </w:pPr>
    </w:p>
    <w:sectPr w:rsidR="00D32E0F" w:rsidRPr="006477A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D6"/>
    <w:rsid w:val="0003272B"/>
    <w:rsid w:val="006477A9"/>
    <w:rsid w:val="008642D6"/>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7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7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30135">
      <w:bodyDiv w:val="1"/>
      <w:marLeft w:val="0"/>
      <w:marRight w:val="0"/>
      <w:marTop w:val="0"/>
      <w:marBottom w:val="0"/>
      <w:divBdr>
        <w:top w:val="none" w:sz="0" w:space="0" w:color="auto"/>
        <w:left w:val="none" w:sz="0" w:space="0" w:color="auto"/>
        <w:bottom w:val="none" w:sz="0" w:space="0" w:color="auto"/>
        <w:right w:val="none" w:sz="0" w:space="0" w:color="auto"/>
      </w:divBdr>
      <w:divsChild>
        <w:div w:id="280116633">
          <w:marLeft w:val="0"/>
          <w:marRight w:val="0"/>
          <w:marTop w:val="0"/>
          <w:marBottom w:val="0"/>
          <w:divBdr>
            <w:top w:val="none" w:sz="0" w:space="0" w:color="auto"/>
            <w:left w:val="none" w:sz="0" w:space="0" w:color="auto"/>
            <w:bottom w:val="none" w:sz="0" w:space="0" w:color="auto"/>
            <w:right w:val="none" w:sz="0" w:space="0" w:color="auto"/>
          </w:divBdr>
        </w:div>
        <w:div w:id="832918342">
          <w:marLeft w:val="0"/>
          <w:marRight w:val="0"/>
          <w:marTop w:val="0"/>
          <w:marBottom w:val="0"/>
          <w:divBdr>
            <w:top w:val="none" w:sz="0" w:space="0" w:color="auto"/>
            <w:left w:val="none" w:sz="0" w:space="0" w:color="auto"/>
            <w:bottom w:val="none" w:sz="0" w:space="0" w:color="auto"/>
            <w:right w:val="none" w:sz="0" w:space="0" w:color="auto"/>
          </w:divBdr>
        </w:div>
        <w:div w:id="883296342">
          <w:marLeft w:val="0"/>
          <w:marRight w:val="0"/>
          <w:marTop w:val="0"/>
          <w:marBottom w:val="0"/>
          <w:divBdr>
            <w:top w:val="none" w:sz="0" w:space="0" w:color="auto"/>
            <w:left w:val="none" w:sz="0" w:space="0" w:color="auto"/>
            <w:bottom w:val="none" w:sz="0" w:space="0" w:color="auto"/>
            <w:right w:val="none" w:sz="0" w:space="0" w:color="auto"/>
          </w:divBdr>
        </w:div>
        <w:div w:id="1203983949">
          <w:marLeft w:val="0"/>
          <w:marRight w:val="0"/>
          <w:marTop w:val="0"/>
          <w:marBottom w:val="0"/>
          <w:divBdr>
            <w:top w:val="none" w:sz="0" w:space="0" w:color="auto"/>
            <w:left w:val="none" w:sz="0" w:space="0" w:color="auto"/>
            <w:bottom w:val="none" w:sz="0" w:space="0" w:color="auto"/>
            <w:right w:val="none" w:sz="0" w:space="0" w:color="auto"/>
          </w:divBdr>
        </w:div>
        <w:div w:id="1982610557">
          <w:marLeft w:val="0"/>
          <w:marRight w:val="0"/>
          <w:marTop w:val="0"/>
          <w:marBottom w:val="0"/>
          <w:divBdr>
            <w:top w:val="none" w:sz="0" w:space="0" w:color="auto"/>
            <w:left w:val="none" w:sz="0" w:space="0" w:color="auto"/>
            <w:bottom w:val="none" w:sz="0" w:space="0" w:color="auto"/>
            <w:right w:val="none" w:sz="0" w:space="0" w:color="auto"/>
          </w:divBdr>
        </w:div>
        <w:div w:id="307130849">
          <w:marLeft w:val="0"/>
          <w:marRight w:val="0"/>
          <w:marTop w:val="0"/>
          <w:marBottom w:val="0"/>
          <w:divBdr>
            <w:top w:val="none" w:sz="0" w:space="0" w:color="auto"/>
            <w:left w:val="none" w:sz="0" w:space="0" w:color="auto"/>
            <w:bottom w:val="none" w:sz="0" w:space="0" w:color="auto"/>
            <w:right w:val="none" w:sz="0" w:space="0" w:color="auto"/>
          </w:divBdr>
        </w:div>
        <w:div w:id="1959410046">
          <w:marLeft w:val="0"/>
          <w:marRight w:val="0"/>
          <w:marTop w:val="0"/>
          <w:marBottom w:val="0"/>
          <w:divBdr>
            <w:top w:val="none" w:sz="0" w:space="0" w:color="auto"/>
            <w:left w:val="none" w:sz="0" w:space="0" w:color="auto"/>
            <w:bottom w:val="none" w:sz="0" w:space="0" w:color="auto"/>
            <w:right w:val="none" w:sz="0" w:space="0" w:color="auto"/>
          </w:divBdr>
        </w:div>
        <w:div w:id="530343073">
          <w:marLeft w:val="0"/>
          <w:marRight w:val="0"/>
          <w:marTop w:val="0"/>
          <w:marBottom w:val="0"/>
          <w:divBdr>
            <w:top w:val="none" w:sz="0" w:space="0" w:color="auto"/>
            <w:left w:val="none" w:sz="0" w:space="0" w:color="auto"/>
            <w:bottom w:val="none" w:sz="0" w:space="0" w:color="auto"/>
            <w:right w:val="none" w:sz="0" w:space="0" w:color="auto"/>
          </w:divBdr>
        </w:div>
        <w:div w:id="565455084">
          <w:marLeft w:val="0"/>
          <w:marRight w:val="0"/>
          <w:marTop w:val="0"/>
          <w:marBottom w:val="0"/>
          <w:divBdr>
            <w:top w:val="none" w:sz="0" w:space="0" w:color="auto"/>
            <w:left w:val="none" w:sz="0" w:space="0" w:color="auto"/>
            <w:bottom w:val="none" w:sz="0" w:space="0" w:color="auto"/>
            <w:right w:val="none" w:sz="0" w:space="0" w:color="auto"/>
          </w:divBdr>
        </w:div>
        <w:div w:id="1953517093">
          <w:marLeft w:val="0"/>
          <w:marRight w:val="0"/>
          <w:marTop w:val="0"/>
          <w:marBottom w:val="0"/>
          <w:divBdr>
            <w:top w:val="none" w:sz="0" w:space="0" w:color="auto"/>
            <w:left w:val="none" w:sz="0" w:space="0" w:color="auto"/>
            <w:bottom w:val="none" w:sz="0" w:space="0" w:color="auto"/>
            <w:right w:val="none" w:sz="0" w:space="0" w:color="auto"/>
          </w:divBdr>
        </w:div>
        <w:div w:id="2131317288">
          <w:marLeft w:val="0"/>
          <w:marRight w:val="0"/>
          <w:marTop w:val="0"/>
          <w:marBottom w:val="0"/>
          <w:divBdr>
            <w:top w:val="none" w:sz="0" w:space="0" w:color="auto"/>
            <w:left w:val="none" w:sz="0" w:space="0" w:color="auto"/>
            <w:bottom w:val="none" w:sz="0" w:space="0" w:color="auto"/>
            <w:right w:val="none" w:sz="0" w:space="0" w:color="auto"/>
          </w:divBdr>
        </w:div>
        <w:div w:id="1569533505">
          <w:marLeft w:val="0"/>
          <w:marRight w:val="0"/>
          <w:marTop w:val="0"/>
          <w:marBottom w:val="0"/>
          <w:divBdr>
            <w:top w:val="none" w:sz="0" w:space="0" w:color="auto"/>
            <w:left w:val="none" w:sz="0" w:space="0" w:color="auto"/>
            <w:bottom w:val="none" w:sz="0" w:space="0" w:color="auto"/>
            <w:right w:val="none" w:sz="0" w:space="0" w:color="auto"/>
          </w:divBdr>
        </w:div>
        <w:div w:id="56782401">
          <w:marLeft w:val="0"/>
          <w:marRight w:val="0"/>
          <w:marTop w:val="0"/>
          <w:marBottom w:val="0"/>
          <w:divBdr>
            <w:top w:val="none" w:sz="0" w:space="0" w:color="auto"/>
            <w:left w:val="none" w:sz="0" w:space="0" w:color="auto"/>
            <w:bottom w:val="none" w:sz="0" w:space="0" w:color="auto"/>
            <w:right w:val="none" w:sz="0" w:space="0" w:color="auto"/>
          </w:divBdr>
        </w:div>
        <w:div w:id="1622417210">
          <w:marLeft w:val="0"/>
          <w:marRight w:val="0"/>
          <w:marTop w:val="0"/>
          <w:marBottom w:val="0"/>
          <w:divBdr>
            <w:top w:val="none" w:sz="0" w:space="0" w:color="auto"/>
            <w:left w:val="none" w:sz="0" w:space="0" w:color="auto"/>
            <w:bottom w:val="none" w:sz="0" w:space="0" w:color="auto"/>
            <w:right w:val="none" w:sz="0" w:space="0" w:color="auto"/>
          </w:divBdr>
        </w:div>
        <w:div w:id="2106266890">
          <w:marLeft w:val="0"/>
          <w:marRight w:val="0"/>
          <w:marTop w:val="0"/>
          <w:marBottom w:val="0"/>
          <w:divBdr>
            <w:top w:val="none" w:sz="0" w:space="0" w:color="auto"/>
            <w:left w:val="none" w:sz="0" w:space="0" w:color="auto"/>
            <w:bottom w:val="none" w:sz="0" w:space="0" w:color="auto"/>
            <w:right w:val="none" w:sz="0" w:space="0" w:color="auto"/>
          </w:divBdr>
        </w:div>
        <w:div w:id="676495078">
          <w:marLeft w:val="0"/>
          <w:marRight w:val="0"/>
          <w:marTop w:val="0"/>
          <w:marBottom w:val="0"/>
          <w:divBdr>
            <w:top w:val="none" w:sz="0" w:space="0" w:color="auto"/>
            <w:left w:val="none" w:sz="0" w:space="0" w:color="auto"/>
            <w:bottom w:val="none" w:sz="0" w:space="0" w:color="auto"/>
            <w:right w:val="none" w:sz="0" w:space="0" w:color="auto"/>
          </w:divBdr>
        </w:div>
        <w:div w:id="2007173351">
          <w:marLeft w:val="0"/>
          <w:marRight w:val="0"/>
          <w:marTop w:val="0"/>
          <w:marBottom w:val="0"/>
          <w:divBdr>
            <w:top w:val="none" w:sz="0" w:space="0" w:color="auto"/>
            <w:left w:val="none" w:sz="0" w:space="0" w:color="auto"/>
            <w:bottom w:val="none" w:sz="0" w:space="0" w:color="auto"/>
            <w:right w:val="none" w:sz="0" w:space="0" w:color="auto"/>
          </w:divBdr>
        </w:div>
        <w:div w:id="21170913">
          <w:marLeft w:val="0"/>
          <w:marRight w:val="0"/>
          <w:marTop w:val="0"/>
          <w:marBottom w:val="0"/>
          <w:divBdr>
            <w:top w:val="none" w:sz="0" w:space="0" w:color="auto"/>
            <w:left w:val="none" w:sz="0" w:space="0" w:color="auto"/>
            <w:bottom w:val="none" w:sz="0" w:space="0" w:color="auto"/>
            <w:right w:val="none" w:sz="0" w:space="0" w:color="auto"/>
          </w:divBdr>
        </w:div>
        <w:div w:id="1402677300">
          <w:marLeft w:val="0"/>
          <w:marRight w:val="0"/>
          <w:marTop w:val="0"/>
          <w:marBottom w:val="0"/>
          <w:divBdr>
            <w:top w:val="none" w:sz="0" w:space="0" w:color="auto"/>
            <w:left w:val="none" w:sz="0" w:space="0" w:color="auto"/>
            <w:bottom w:val="none" w:sz="0" w:space="0" w:color="auto"/>
            <w:right w:val="none" w:sz="0" w:space="0" w:color="auto"/>
          </w:divBdr>
        </w:div>
      </w:divsChild>
    </w:div>
    <w:div w:id="1767768966">
      <w:bodyDiv w:val="1"/>
      <w:marLeft w:val="0"/>
      <w:marRight w:val="0"/>
      <w:marTop w:val="0"/>
      <w:marBottom w:val="0"/>
      <w:divBdr>
        <w:top w:val="none" w:sz="0" w:space="0" w:color="auto"/>
        <w:left w:val="none" w:sz="0" w:space="0" w:color="auto"/>
        <w:bottom w:val="none" w:sz="0" w:space="0" w:color="auto"/>
        <w:right w:val="none" w:sz="0" w:space="0" w:color="auto"/>
      </w:divBdr>
      <w:divsChild>
        <w:div w:id="1025600587">
          <w:marLeft w:val="0"/>
          <w:marRight w:val="0"/>
          <w:marTop w:val="0"/>
          <w:marBottom w:val="0"/>
          <w:divBdr>
            <w:top w:val="none" w:sz="0" w:space="0" w:color="auto"/>
            <w:left w:val="none" w:sz="0" w:space="0" w:color="auto"/>
            <w:bottom w:val="none" w:sz="0" w:space="0" w:color="auto"/>
            <w:right w:val="none" w:sz="0" w:space="0" w:color="auto"/>
          </w:divBdr>
        </w:div>
        <w:div w:id="456993056">
          <w:marLeft w:val="0"/>
          <w:marRight w:val="0"/>
          <w:marTop w:val="0"/>
          <w:marBottom w:val="0"/>
          <w:divBdr>
            <w:top w:val="none" w:sz="0" w:space="0" w:color="auto"/>
            <w:left w:val="none" w:sz="0" w:space="0" w:color="auto"/>
            <w:bottom w:val="none" w:sz="0" w:space="0" w:color="auto"/>
            <w:right w:val="none" w:sz="0" w:space="0" w:color="auto"/>
          </w:divBdr>
        </w:div>
        <w:div w:id="1065832002">
          <w:marLeft w:val="0"/>
          <w:marRight w:val="0"/>
          <w:marTop w:val="0"/>
          <w:marBottom w:val="0"/>
          <w:divBdr>
            <w:top w:val="none" w:sz="0" w:space="0" w:color="auto"/>
            <w:left w:val="none" w:sz="0" w:space="0" w:color="auto"/>
            <w:bottom w:val="none" w:sz="0" w:space="0" w:color="auto"/>
            <w:right w:val="none" w:sz="0" w:space="0" w:color="auto"/>
          </w:divBdr>
        </w:div>
        <w:div w:id="1189102328">
          <w:marLeft w:val="0"/>
          <w:marRight w:val="0"/>
          <w:marTop w:val="0"/>
          <w:marBottom w:val="0"/>
          <w:divBdr>
            <w:top w:val="none" w:sz="0" w:space="0" w:color="auto"/>
            <w:left w:val="none" w:sz="0" w:space="0" w:color="auto"/>
            <w:bottom w:val="none" w:sz="0" w:space="0" w:color="auto"/>
            <w:right w:val="none" w:sz="0" w:space="0" w:color="auto"/>
          </w:divBdr>
        </w:div>
        <w:div w:id="1023895478">
          <w:marLeft w:val="0"/>
          <w:marRight w:val="0"/>
          <w:marTop w:val="0"/>
          <w:marBottom w:val="0"/>
          <w:divBdr>
            <w:top w:val="none" w:sz="0" w:space="0" w:color="auto"/>
            <w:left w:val="none" w:sz="0" w:space="0" w:color="auto"/>
            <w:bottom w:val="none" w:sz="0" w:space="0" w:color="auto"/>
            <w:right w:val="none" w:sz="0" w:space="0" w:color="auto"/>
          </w:divBdr>
        </w:div>
        <w:div w:id="1720057946">
          <w:marLeft w:val="0"/>
          <w:marRight w:val="0"/>
          <w:marTop w:val="0"/>
          <w:marBottom w:val="0"/>
          <w:divBdr>
            <w:top w:val="none" w:sz="0" w:space="0" w:color="auto"/>
            <w:left w:val="none" w:sz="0" w:space="0" w:color="auto"/>
            <w:bottom w:val="none" w:sz="0" w:space="0" w:color="auto"/>
            <w:right w:val="none" w:sz="0" w:space="0" w:color="auto"/>
          </w:divBdr>
        </w:div>
        <w:div w:id="205414273">
          <w:marLeft w:val="0"/>
          <w:marRight w:val="0"/>
          <w:marTop w:val="0"/>
          <w:marBottom w:val="0"/>
          <w:divBdr>
            <w:top w:val="none" w:sz="0" w:space="0" w:color="auto"/>
            <w:left w:val="none" w:sz="0" w:space="0" w:color="auto"/>
            <w:bottom w:val="none" w:sz="0" w:space="0" w:color="auto"/>
            <w:right w:val="none" w:sz="0" w:space="0" w:color="auto"/>
          </w:divBdr>
        </w:div>
        <w:div w:id="68428853">
          <w:marLeft w:val="0"/>
          <w:marRight w:val="0"/>
          <w:marTop w:val="0"/>
          <w:marBottom w:val="0"/>
          <w:divBdr>
            <w:top w:val="none" w:sz="0" w:space="0" w:color="auto"/>
            <w:left w:val="none" w:sz="0" w:space="0" w:color="auto"/>
            <w:bottom w:val="none" w:sz="0" w:space="0" w:color="auto"/>
            <w:right w:val="none" w:sz="0" w:space="0" w:color="auto"/>
          </w:divBdr>
        </w:div>
        <w:div w:id="619260444">
          <w:marLeft w:val="0"/>
          <w:marRight w:val="0"/>
          <w:marTop w:val="0"/>
          <w:marBottom w:val="0"/>
          <w:divBdr>
            <w:top w:val="none" w:sz="0" w:space="0" w:color="auto"/>
            <w:left w:val="none" w:sz="0" w:space="0" w:color="auto"/>
            <w:bottom w:val="none" w:sz="0" w:space="0" w:color="auto"/>
            <w:right w:val="none" w:sz="0" w:space="0" w:color="auto"/>
          </w:divBdr>
        </w:div>
        <w:div w:id="288164832">
          <w:marLeft w:val="0"/>
          <w:marRight w:val="0"/>
          <w:marTop w:val="0"/>
          <w:marBottom w:val="0"/>
          <w:divBdr>
            <w:top w:val="none" w:sz="0" w:space="0" w:color="auto"/>
            <w:left w:val="none" w:sz="0" w:space="0" w:color="auto"/>
            <w:bottom w:val="none" w:sz="0" w:space="0" w:color="auto"/>
            <w:right w:val="none" w:sz="0" w:space="0" w:color="auto"/>
          </w:divBdr>
        </w:div>
        <w:div w:id="241918735">
          <w:marLeft w:val="0"/>
          <w:marRight w:val="0"/>
          <w:marTop w:val="0"/>
          <w:marBottom w:val="0"/>
          <w:divBdr>
            <w:top w:val="none" w:sz="0" w:space="0" w:color="auto"/>
            <w:left w:val="none" w:sz="0" w:space="0" w:color="auto"/>
            <w:bottom w:val="none" w:sz="0" w:space="0" w:color="auto"/>
            <w:right w:val="none" w:sz="0" w:space="0" w:color="auto"/>
          </w:divBdr>
        </w:div>
        <w:div w:id="1771588906">
          <w:marLeft w:val="0"/>
          <w:marRight w:val="0"/>
          <w:marTop w:val="0"/>
          <w:marBottom w:val="0"/>
          <w:divBdr>
            <w:top w:val="none" w:sz="0" w:space="0" w:color="auto"/>
            <w:left w:val="none" w:sz="0" w:space="0" w:color="auto"/>
            <w:bottom w:val="none" w:sz="0" w:space="0" w:color="auto"/>
            <w:right w:val="none" w:sz="0" w:space="0" w:color="auto"/>
          </w:divBdr>
        </w:div>
        <w:div w:id="1537307287">
          <w:marLeft w:val="0"/>
          <w:marRight w:val="0"/>
          <w:marTop w:val="0"/>
          <w:marBottom w:val="0"/>
          <w:divBdr>
            <w:top w:val="none" w:sz="0" w:space="0" w:color="auto"/>
            <w:left w:val="none" w:sz="0" w:space="0" w:color="auto"/>
            <w:bottom w:val="none" w:sz="0" w:space="0" w:color="auto"/>
            <w:right w:val="none" w:sz="0" w:space="0" w:color="auto"/>
          </w:divBdr>
        </w:div>
        <w:div w:id="1165896951">
          <w:marLeft w:val="0"/>
          <w:marRight w:val="0"/>
          <w:marTop w:val="0"/>
          <w:marBottom w:val="0"/>
          <w:divBdr>
            <w:top w:val="none" w:sz="0" w:space="0" w:color="auto"/>
            <w:left w:val="none" w:sz="0" w:space="0" w:color="auto"/>
            <w:bottom w:val="none" w:sz="0" w:space="0" w:color="auto"/>
            <w:right w:val="none" w:sz="0" w:space="0" w:color="auto"/>
          </w:divBdr>
        </w:div>
        <w:div w:id="249003245">
          <w:marLeft w:val="0"/>
          <w:marRight w:val="0"/>
          <w:marTop w:val="0"/>
          <w:marBottom w:val="0"/>
          <w:divBdr>
            <w:top w:val="none" w:sz="0" w:space="0" w:color="auto"/>
            <w:left w:val="none" w:sz="0" w:space="0" w:color="auto"/>
            <w:bottom w:val="none" w:sz="0" w:space="0" w:color="auto"/>
            <w:right w:val="none" w:sz="0" w:space="0" w:color="auto"/>
          </w:divBdr>
        </w:div>
        <w:div w:id="1184706883">
          <w:marLeft w:val="0"/>
          <w:marRight w:val="0"/>
          <w:marTop w:val="0"/>
          <w:marBottom w:val="0"/>
          <w:divBdr>
            <w:top w:val="none" w:sz="0" w:space="0" w:color="auto"/>
            <w:left w:val="none" w:sz="0" w:space="0" w:color="auto"/>
            <w:bottom w:val="none" w:sz="0" w:space="0" w:color="auto"/>
            <w:right w:val="none" w:sz="0" w:space="0" w:color="auto"/>
          </w:divBdr>
        </w:div>
        <w:div w:id="1933390875">
          <w:marLeft w:val="0"/>
          <w:marRight w:val="0"/>
          <w:marTop w:val="0"/>
          <w:marBottom w:val="0"/>
          <w:divBdr>
            <w:top w:val="none" w:sz="0" w:space="0" w:color="auto"/>
            <w:left w:val="none" w:sz="0" w:space="0" w:color="auto"/>
            <w:bottom w:val="none" w:sz="0" w:space="0" w:color="auto"/>
            <w:right w:val="none" w:sz="0" w:space="0" w:color="auto"/>
          </w:divBdr>
        </w:div>
        <w:div w:id="267128560">
          <w:marLeft w:val="0"/>
          <w:marRight w:val="0"/>
          <w:marTop w:val="0"/>
          <w:marBottom w:val="0"/>
          <w:divBdr>
            <w:top w:val="none" w:sz="0" w:space="0" w:color="auto"/>
            <w:left w:val="none" w:sz="0" w:space="0" w:color="auto"/>
            <w:bottom w:val="none" w:sz="0" w:space="0" w:color="auto"/>
            <w:right w:val="none" w:sz="0" w:space="0" w:color="auto"/>
          </w:divBdr>
        </w:div>
        <w:div w:id="605160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2020-04-26T13:17:00Z</dcterms:created>
  <dcterms:modified xsi:type="dcterms:W3CDTF">2020-04-26T13:18:00Z</dcterms:modified>
</cp:coreProperties>
</file>