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FE" w:rsidRPr="00AE2DFE" w:rsidRDefault="00AE2DFE" w:rsidP="00AE2DFE">
      <w:pPr>
        <w:jc w:val="center"/>
        <w:rPr>
          <w:sz w:val="32"/>
          <w:szCs w:val="32"/>
        </w:rPr>
      </w:pPr>
      <w:bookmarkStart w:id="0" w:name="Anchor1"/>
      <w:bookmarkEnd w:id="0"/>
      <w:r w:rsidRPr="00AE2DFE">
        <w:rPr>
          <w:sz w:val="32"/>
          <w:szCs w:val="32"/>
          <w:rtl/>
        </w:rPr>
        <w:t>الطعن ر</w:t>
      </w:r>
      <w:bookmarkStart w:id="1" w:name="_GoBack"/>
      <w:bookmarkEnd w:id="1"/>
      <w:r w:rsidRPr="00AE2DFE">
        <w:rPr>
          <w:sz w:val="32"/>
          <w:szCs w:val="32"/>
          <w:rtl/>
        </w:rPr>
        <w:t>قم 1987</w:t>
      </w:r>
    </w:p>
    <w:p w:rsidR="00AE2DFE" w:rsidRPr="00AE2DFE" w:rsidRDefault="00AE2DFE" w:rsidP="00AE2DFE">
      <w:pPr>
        <w:rPr>
          <w:sz w:val="32"/>
          <w:szCs w:val="32"/>
        </w:rPr>
      </w:pPr>
      <w:bookmarkStart w:id="2" w:name="Anchor5"/>
      <w:bookmarkEnd w:id="2"/>
      <w:r w:rsidRPr="00AE2DFE">
        <w:rPr>
          <w:sz w:val="32"/>
          <w:szCs w:val="32"/>
          <w:rtl/>
        </w:rPr>
        <w:t>هيئة المحكمة</w:t>
      </w:r>
      <w:r w:rsidRPr="00AE2DFE">
        <w:rPr>
          <w:sz w:val="32"/>
          <w:szCs w:val="32"/>
        </w:rPr>
        <w:t xml:space="preserve">: </w:t>
      </w:r>
      <w:r w:rsidRPr="00AE2DFE">
        <w:rPr>
          <w:sz w:val="32"/>
          <w:szCs w:val="32"/>
          <w:rtl/>
        </w:rPr>
        <w:t>برئاسة السيد المستشار خالد المزيني وكيل المحكمة وعضوية السادة المستشارين عبد الهادي الجفين وصلاح الدين كامل وامين طموم وأحمد ابو ضيف</w:t>
      </w:r>
    </w:p>
    <w:bookmarkStart w:id="3" w:name="Anchor24"/>
    <w:bookmarkEnd w:id="3"/>
    <w:p w:rsidR="00AE2DFE" w:rsidRPr="00AE2DFE" w:rsidRDefault="00AE2DFE" w:rsidP="00AE2DFE">
      <w:pPr>
        <w:rPr>
          <w:sz w:val="32"/>
          <w:szCs w:val="32"/>
        </w:rPr>
      </w:pPr>
      <w:r w:rsidRPr="00AE2DFE">
        <w:rPr>
          <w:sz w:val="32"/>
          <w:szCs w:val="32"/>
        </w:rPr>
        <w:fldChar w:fldCharType="begin"/>
      </w:r>
      <w:r w:rsidRPr="00AE2DFE">
        <w:rPr>
          <w:sz w:val="32"/>
          <w:szCs w:val="32"/>
        </w:rPr>
        <w:instrText xml:space="preserve"> HYPERLINK "http://www.law.gov.kw/KWT_CC-Ar/00_2014/00_%D8%A7%D9%84%D8%AF%D8%A7%D8%A6%D8%B1%D8%A9%20%D8%A7%D9%84%D8%AA%D8%AC%D8%A7%D8%B1%D9%8A%D8%A9/KWT-CC-Ar_2014-10-29_01987_Taan.html" \l "TM2014_1987_1" </w:instrText>
      </w:r>
      <w:r w:rsidRPr="00AE2DFE">
        <w:rPr>
          <w:sz w:val="32"/>
          <w:szCs w:val="32"/>
        </w:rPr>
        <w:fldChar w:fldCharType="separate"/>
      </w:r>
      <w:r w:rsidRPr="00AE2DFE">
        <w:rPr>
          <w:rStyle w:val="Hyperlink"/>
          <w:sz w:val="32"/>
          <w:szCs w:val="32"/>
        </w:rPr>
        <w:t xml:space="preserve">1- </w:t>
      </w:r>
      <w:r w:rsidRPr="00AE2DFE">
        <w:rPr>
          <w:rStyle w:val="Hyperlink"/>
          <w:sz w:val="32"/>
          <w:szCs w:val="32"/>
          <w:rtl/>
        </w:rPr>
        <w:t>ان لمحكمة الموضوع سلطة تقدير الادلة والمستندات وتفسير اقرارات الخصوم</w:t>
      </w:r>
      <w:r w:rsidRPr="00AE2DFE">
        <w:rPr>
          <w:rStyle w:val="Hyperlink"/>
          <w:sz w:val="32"/>
          <w:szCs w:val="32"/>
        </w:rPr>
        <w:t>.</w:t>
      </w:r>
      <w:r w:rsidRPr="00AE2DFE">
        <w:rPr>
          <w:sz w:val="32"/>
          <w:szCs w:val="32"/>
        </w:rPr>
        <w:fldChar w:fldCharType="end"/>
      </w:r>
    </w:p>
    <w:bookmarkStart w:id="4" w:name="Anchor33"/>
    <w:bookmarkEnd w:id="4"/>
    <w:p w:rsidR="00AE2DFE" w:rsidRPr="00AE2DFE" w:rsidRDefault="00AE2DFE" w:rsidP="00AE2DFE">
      <w:pPr>
        <w:rPr>
          <w:sz w:val="32"/>
          <w:szCs w:val="32"/>
        </w:rPr>
      </w:pPr>
      <w:r w:rsidRPr="00AE2DFE">
        <w:rPr>
          <w:sz w:val="32"/>
          <w:szCs w:val="32"/>
        </w:rPr>
        <w:fldChar w:fldCharType="begin"/>
      </w:r>
      <w:r w:rsidRPr="00AE2DFE">
        <w:rPr>
          <w:sz w:val="32"/>
          <w:szCs w:val="32"/>
        </w:rPr>
        <w:instrText xml:space="preserve"> HYPERLINK "http://www.law.gov.kw/KWT_CC-Ar/00_2014/00_%D8%A7%D9%84%D8%AF%D8%A7%D8%A6%D8%B1%D8%A9%20%D8%A7%D9%84%D8%AA%D8%AC%D8%A7%D8%B1%D9%8A%D8%A9/KWT-CC-Ar_2014-10-29_01987_Taan.html" \l "TM2014_1987_2" </w:instrText>
      </w:r>
      <w:r w:rsidRPr="00AE2DFE">
        <w:rPr>
          <w:sz w:val="32"/>
          <w:szCs w:val="32"/>
        </w:rPr>
        <w:fldChar w:fldCharType="separate"/>
      </w:r>
      <w:r w:rsidRPr="00AE2DFE">
        <w:rPr>
          <w:rStyle w:val="Hyperlink"/>
          <w:sz w:val="32"/>
          <w:szCs w:val="32"/>
        </w:rPr>
        <w:t xml:space="preserve">2- </w:t>
      </w:r>
      <w:r w:rsidRPr="00AE2DFE">
        <w:rPr>
          <w:rStyle w:val="Hyperlink"/>
          <w:sz w:val="32"/>
          <w:szCs w:val="32"/>
          <w:rtl/>
        </w:rPr>
        <w:t>ان سبب الشيك هو الوفاء بدين مستحق لمن حرر لصالحه إعمالا للقرينة المترتبة على تسليمه للمستفيد</w:t>
      </w:r>
      <w:r w:rsidRPr="00AE2DFE">
        <w:rPr>
          <w:rStyle w:val="Hyperlink"/>
          <w:sz w:val="32"/>
          <w:szCs w:val="32"/>
        </w:rPr>
        <w:t>.</w:t>
      </w:r>
      <w:r w:rsidRPr="00AE2DFE">
        <w:rPr>
          <w:sz w:val="32"/>
          <w:szCs w:val="32"/>
        </w:rPr>
        <w:fldChar w:fldCharType="end"/>
      </w:r>
    </w:p>
    <w:bookmarkStart w:id="5" w:name="Anchor44"/>
    <w:bookmarkEnd w:id="5"/>
    <w:p w:rsidR="00AE2DFE" w:rsidRPr="00AE2DFE" w:rsidRDefault="00AE2DFE" w:rsidP="00AE2DFE">
      <w:pPr>
        <w:rPr>
          <w:sz w:val="32"/>
          <w:szCs w:val="32"/>
        </w:rPr>
      </w:pPr>
      <w:r w:rsidRPr="00AE2DFE">
        <w:rPr>
          <w:sz w:val="32"/>
          <w:szCs w:val="32"/>
        </w:rPr>
        <w:fldChar w:fldCharType="begin"/>
      </w:r>
      <w:r w:rsidRPr="00AE2DFE">
        <w:rPr>
          <w:sz w:val="32"/>
          <w:szCs w:val="32"/>
        </w:rPr>
        <w:instrText xml:space="preserve"> HYPERLINK "http://www.law.gov.kw/KWT_CC-Ar/00_2014/00_%D8%A7%D9%84%D8%AF%D8%A7%D8%A6%D8%B1%D8%A9%20%D8%A7%D9%84%D8%AA%D8%AC%D8%A7%D8%B1%D9%8A%D8%A9/KWT-CC-Ar_2014-10-29_01987_Taan.html" \l "TM2014_1987_3" </w:instrText>
      </w:r>
      <w:r w:rsidRPr="00AE2DFE">
        <w:rPr>
          <w:sz w:val="32"/>
          <w:szCs w:val="32"/>
        </w:rPr>
        <w:fldChar w:fldCharType="separate"/>
      </w:r>
      <w:r w:rsidRPr="00AE2DFE">
        <w:rPr>
          <w:rStyle w:val="Hyperlink"/>
          <w:sz w:val="32"/>
          <w:szCs w:val="32"/>
        </w:rPr>
        <w:t xml:space="preserve">3- </w:t>
      </w:r>
      <w:r w:rsidRPr="00AE2DFE">
        <w:rPr>
          <w:rStyle w:val="Hyperlink"/>
          <w:sz w:val="32"/>
          <w:szCs w:val="32"/>
          <w:rtl/>
        </w:rPr>
        <w:t>ان الحكم المطعون فيه قضى بإلزام الطاعنة بقيمة الشيك استنادا الى حجية الشيك باعتبارها ورقة عرفية أقر صاحب المؤسسة بتوقيعه عليها</w:t>
      </w:r>
      <w:r w:rsidRPr="00AE2DFE">
        <w:rPr>
          <w:rStyle w:val="Hyperlink"/>
          <w:sz w:val="32"/>
          <w:szCs w:val="32"/>
        </w:rPr>
        <w:t>.</w:t>
      </w:r>
      <w:r w:rsidRPr="00AE2DFE">
        <w:rPr>
          <w:sz w:val="32"/>
          <w:szCs w:val="32"/>
        </w:rPr>
        <w:fldChar w:fldCharType="end"/>
      </w:r>
      <w:r w:rsidRPr="00AE2DFE">
        <w:rPr>
          <w:sz w:val="32"/>
          <w:szCs w:val="32"/>
        </w:rPr>
        <w:br/>
      </w:r>
      <w:r w:rsidRPr="00AE2DFE">
        <w:rPr>
          <w:sz w:val="32"/>
          <w:szCs w:val="32"/>
        </w:rPr>
        <w:br/>
      </w:r>
      <w:r w:rsidRPr="00AE2DFE">
        <w:rPr>
          <w:sz w:val="32"/>
          <w:szCs w:val="32"/>
          <w:u w:val="single"/>
          <w:rtl/>
        </w:rPr>
        <w:t>ملاحظة</w:t>
      </w:r>
      <w:r w:rsidRPr="00AE2DFE">
        <w:rPr>
          <w:sz w:val="32"/>
          <w:szCs w:val="32"/>
          <w:u w:val="single"/>
        </w:rPr>
        <w:t xml:space="preserve"> :</w:t>
      </w:r>
      <w:r w:rsidRPr="00AE2DFE">
        <w:rPr>
          <w:sz w:val="32"/>
          <w:szCs w:val="32"/>
        </w:rPr>
        <w:br/>
      </w:r>
      <w:r w:rsidRPr="00AE2DF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AE2DFE" w:rsidRPr="00AE2DFE" w:rsidRDefault="00AE2DFE" w:rsidP="00AE2DFE">
      <w:pPr>
        <w:rPr>
          <w:sz w:val="32"/>
          <w:szCs w:val="32"/>
        </w:rPr>
      </w:pPr>
      <w:bookmarkStart w:id="6" w:name="Anchor59"/>
      <w:bookmarkEnd w:id="6"/>
      <w:r w:rsidRPr="00AE2DFE">
        <w:rPr>
          <w:b/>
          <w:bCs/>
          <w:sz w:val="32"/>
          <w:szCs w:val="32"/>
          <w:rtl/>
        </w:rPr>
        <w:t>المحكمـة</w:t>
      </w:r>
    </w:p>
    <w:p w:rsidR="00AE2DFE" w:rsidRPr="00AE2DFE" w:rsidRDefault="00AE2DFE" w:rsidP="00AE2DFE">
      <w:pPr>
        <w:rPr>
          <w:sz w:val="32"/>
          <w:szCs w:val="32"/>
        </w:rPr>
      </w:pPr>
      <w:bookmarkStart w:id="7" w:name="Anchor60"/>
      <w:bookmarkEnd w:id="7"/>
      <w:r w:rsidRPr="00AE2DFE">
        <w:rPr>
          <w:sz w:val="32"/>
          <w:szCs w:val="32"/>
          <w:rtl/>
        </w:rPr>
        <w:t>بعد الاطلاع على الأوراق والمداولة</w:t>
      </w:r>
      <w:r w:rsidRPr="00AE2DFE">
        <w:rPr>
          <w:sz w:val="32"/>
          <w:szCs w:val="32"/>
        </w:rPr>
        <w:t>.</w:t>
      </w:r>
    </w:p>
    <w:p w:rsidR="00AE2DFE" w:rsidRPr="00AE2DFE" w:rsidRDefault="00AE2DFE" w:rsidP="00AE2DFE">
      <w:pPr>
        <w:rPr>
          <w:sz w:val="32"/>
          <w:szCs w:val="32"/>
        </w:rPr>
      </w:pPr>
      <w:bookmarkStart w:id="8" w:name="Anchor64"/>
      <w:bookmarkStart w:id="9" w:name="TM2014_1987_1"/>
      <w:bookmarkEnd w:id="8"/>
      <w:bookmarkEnd w:id="9"/>
      <w:r w:rsidRPr="00AE2DFE">
        <w:rPr>
          <w:b/>
          <w:bCs/>
          <w:sz w:val="32"/>
          <w:szCs w:val="32"/>
          <w:rtl/>
        </w:rPr>
        <w:t>لما كان من المقرر أن لمحكمة الموضوع، السلطة في فهم الواقع في الدعوى وتقدير الأدلة والمستندات وتفسير إقرارات الخصوم متى كان استخلاصها سائغاً،</w:t>
      </w:r>
    </w:p>
    <w:p w:rsidR="00AE2DFE" w:rsidRPr="00AE2DFE" w:rsidRDefault="00AE2DFE" w:rsidP="00AE2DFE">
      <w:pPr>
        <w:rPr>
          <w:sz w:val="32"/>
          <w:szCs w:val="32"/>
        </w:rPr>
      </w:pPr>
      <w:bookmarkStart w:id="10" w:name="Anchor81"/>
      <w:bookmarkStart w:id="11" w:name="TM2014_1987_2"/>
      <w:bookmarkEnd w:id="10"/>
      <w:bookmarkEnd w:id="11"/>
      <w:r w:rsidRPr="00AE2DFE">
        <w:rPr>
          <w:b/>
          <w:bCs/>
          <w:sz w:val="32"/>
          <w:szCs w:val="32"/>
          <w:rtl/>
        </w:rPr>
        <w:t>وان الشيك بحسب الاصل اداه وفاء تقوم مقام النقود وأنه ينطوي بذاته على سببه ، والأصل ان سببه هو الوفاء بدين مستحق لمن حرر لصالحه اعمالاً للقرينة المترتبة على تسليمه للمستفيد</w:t>
      </w:r>
      <w:r w:rsidRPr="00AE2DFE">
        <w:rPr>
          <w:b/>
          <w:bCs/>
          <w:sz w:val="32"/>
          <w:szCs w:val="32"/>
        </w:rPr>
        <w:t>.</w:t>
      </w:r>
    </w:p>
    <w:p w:rsidR="00AE2DFE" w:rsidRPr="00AE2DFE" w:rsidRDefault="00AE2DFE" w:rsidP="00AE2DFE">
      <w:pPr>
        <w:rPr>
          <w:sz w:val="32"/>
          <w:szCs w:val="32"/>
        </w:rPr>
      </w:pPr>
      <w:bookmarkStart w:id="12" w:name="Anchor98"/>
      <w:bookmarkEnd w:id="12"/>
      <w:r w:rsidRPr="00AE2DFE">
        <w:rPr>
          <w:sz w:val="32"/>
          <w:szCs w:val="32"/>
          <w:rtl/>
        </w:rPr>
        <w:t>لما كان ذلك</w:t>
      </w:r>
      <w:r w:rsidRPr="00AE2DFE">
        <w:rPr>
          <w:b/>
          <w:bCs/>
          <w:sz w:val="32"/>
          <w:szCs w:val="32"/>
          <w:rtl/>
        </w:rPr>
        <w:t xml:space="preserve"> </w:t>
      </w:r>
      <w:bookmarkStart w:id="13" w:name="TM2014_1987_3"/>
      <w:bookmarkEnd w:id="13"/>
      <w:r w:rsidRPr="00AE2DFE">
        <w:rPr>
          <w:b/>
          <w:bCs/>
          <w:sz w:val="32"/>
          <w:szCs w:val="32"/>
          <w:rtl/>
        </w:rPr>
        <w:t xml:space="preserve">وكان الحكم المطعون فيه قد أقام قضاءه بالزام ممثل الطاعنة بالمبلغ المقضي به قيمة الشيك سند الدعوى استناداً إلى حجية الشيك باعتبارها ورقة عرفية اقر صاحب المؤسسة بتوقيعه عليها ولا يقدح في هذا الصدد ما أثاره الاخير من انه حرر لضمان عمليه المقاولة التي نفذها المطعون ضده لصالح الطاعنة، إذ أنه جاء قولاً مرسلاً لم يقم عليه دليل بالأوراق، وهذا الذي خلص إليه الحكم جاء سائغاً وكافياً لحمل قضائه وله أصله الثابت بالأوراق، ويضحى الطعن جدل موضوعي تنحسر عنه رقابة محكمة التمييز وعلى غير الأسباب المبينة بالمادتين 152 و </w:t>
      </w:r>
      <w:r w:rsidRPr="00AE2DFE">
        <w:rPr>
          <w:b/>
          <w:bCs/>
          <w:sz w:val="32"/>
          <w:szCs w:val="32"/>
        </w:rPr>
        <w:t xml:space="preserve">(154/1) </w:t>
      </w:r>
      <w:r w:rsidRPr="00AE2DFE">
        <w:rPr>
          <w:b/>
          <w:bCs/>
          <w:sz w:val="32"/>
          <w:szCs w:val="32"/>
          <w:rtl/>
        </w:rPr>
        <w:t>من قانون المرافعات</w:t>
      </w:r>
      <w:r w:rsidRPr="00AE2DFE">
        <w:rPr>
          <w:b/>
          <w:bCs/>
          <w:sz w:val="32"/>
          <w:szCs w:val="32"/>
        </w:rPr>
        <w:t>.</w:t>
      </w:r>
    </w:p>
    <w:p w:rsidR="00AE2DFE" w:rsidRPr="00AE2DFE" w:rsidRDefault="00AE2DFE" w:rsidP="00AE2DFE">
      <w:pPr>
        <w:rPr>
          <w:sz w:val="32"/>
          <w:szCs w:val="32"/>
        </w:rPr>
      </w:pPr>
      <w:bookmarkStart w:id="14" w:name="Anchor151"/>
      <w:bookmarkEnd w:id="14"/>
      <w:r w:rsidRPr="00AE2DFE">
        <w:rPr>
          <w:sz w:val="32"/>
          <w:szCs w:val="32"/>
          <w:rtl/>
        </w:rPr>
        <w:lastRenderedPageBreak/>
        <w:t>لذلك</w:t>
      </w:r>
    </w:p>
    <w:p w:rsidR="00AE2DFE" w:rsidRPr="00AE2DFE" w:rsidRDefault="00AE2DFE" w:rsidP="00AE2DFE">
      <w:pPr>
        <w:rPr>
          <w:sz w:val="32"/>
          <w:szCs w:val="32"/>
        </w:rPr>
      </w:pPr>
      <w:bookmarkStart w:id="15" w:name="Anchor152"/>
      <w:bookmarkEnd w:id="15"/>
      <w:r w:rsidRPr="00AE2DFE">
        <w:rPr>
          <w:sz w:val="32"/>
          <w:szCs w:val="32"/>
          <w:rtl/>
        </w:rPr>
        <w:t>قررت المحكمة- في غرفة المشورة</w:t>
      </w:r>
      <w:r w:rsidRPr="00AE2DFE">
        <w:rPr>
          <w:sz w:val="32"/>
          <w:szCs w:val="32"/>
        </w:rPr>
        <w:t xml:space="preserve">- </w:t>
      </w:r>
      <w:r w:rsidRPr="00AE2DFE">
        <w:rPr>
          <w:sz w:val="32"/>
          <w:szCs w:val="32"/>
          <w:rtl/>
        </w:rPr>
        <w:t>عدم قبول الطعون وألزمت الطاعن المصاريف وعشرين ديناراً مقابل أتعاب المحاماة مع مصادرة الكفالة</w:t>
      </w:r>
      <w:r w:rsidRPr="00AE2DFE">
        <w:rPr>
          <w:sz w:val="32"/>
          <w:szCs w:val="32"/>
        </w:rPr>
        <w:t>.</w:t>
      </w:r>
    </w:p>
    <w:p w:rsidR="00AE2DFE" w:rsidRPr="00AE2DFE" w:rsidRDefault="00AE2DFE" w:rsidP="00AE2DFE">
      <w:pPr>
        <w:rPr>
          <w:sz w:val="32"/>
          <w:szCs w:val="32"/>
        </w:rPr>
      </w:pPr>
    </w:p>
    <w:p w:rsidR="00AE2DFE" w:rsidRPr="00AE2DFE" w:rsidRDefault="00AE2DFE" w:rsidP="00AE2DFE">
      <w:pPr>
        <w:rPr>
          <w:sz w:val="32"/>
          <w:szCs w:val="32"/>
        </w:rPr>
      </w:pPr>
      <w:bookmarkStart w:id="16" w:name="Anchor166"/>
      <w:bookmarkEnd w:id="16"/>
      <w:r w:rsidRPr="00AE2DFE">
        <w:rPr>
          <w:sz w:val="32"/>
          <w:szCs w:val="32"/>
        </w:rPr>
        <w:t>* * *</w:t>
      </w:r>
    </w:p>
    <w:p w:rsidR="008C2BA0" w:rsidRPr="00AE2DFE" w:rsidRDefault="008C2BA0">
      <w:pPr>
        <w:rPr>
          <w:sz w:val="32"/>
          <w:szCs w:val="32"/>
        </w:rPr>
      </w:pPr>
    </w:p>
    <w:sectPr w:rsidR="008C2BA0" w:rsidRPr="00AE2DF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17"/>
    <w:rsid w:val="0003272B"/>
    <w:rsid w:val="00176017"/>
    <w:rsid w:val="008C2BA0"/>
    <w:rsid w:val="00AE2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D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1802">
      <w:bodyDiv w:val="1"/>
      <w:marLeft w:val="0"/>
      <w:marRight w:val="0"/>
      <w:marTop w:val="0"/>
      <w:marBottom w:val="0"/>
      <w:divBdr>
        <w:top w:val="none" w:sz="0" w:space="0" w:color="auto"/>
        <w:left w:val="none" w:sz="0" w:space="0" w:color="auto"/>
        <w:bottom w:val="none" w:sz="0" w:space="0" w:color="auto"/>
        <w:right w:val="none" w:sz="0" w:space="0" w:color="auto"/>
      </w:divBdr>
      <w:divsChild>
        <w:div w:id="1903634797">
          <w:marLeft w:val="0"/>
          <w:marRight w:val="0"/>
          <w:marTop w:val="0"/>
          <w:marBottom w:val="0"/>
          <w:divBdr>
            <w:top w:val="none" w:sz="0" w:space="0" w:color="auto"/>
            <w:left w:val="none" w:sz="0" w:space="0" w:color="auto"/>
            <w:bottom w:val="none" w:sz="0" w:space="0" w:color="auto"/>
            <w:right w:val="none" w:sz="0" w:space="0" w:color="auto"/>
          </w:divBdr>
        </w:div>
        <w:div w:id="1040713445">
          <w:marLeft w:val="0"/>
          <w:marRight w:val="0"/>
          <w:marTop w:val="0"/>
          <w:marBottom w:val="0"/>
          <w:divBdr>
            <w:top w:val="none" w:sz="0" w:space="0" w:color="auto"/>
            <w:left w:val="none" w:sz="0" w:space="0" w:color="auto"/>
            <w:bottom w:val="none" w:sz="0" w:space="0" w:color="auto"/>
            <w:right w:val="none" w:sz="0" w:space="0" w:color="auto"/>
          </w:divBdr>
        </w:div>
        <w:div w:id="240025579">
          <w:marLeft w:val="0"/>
          <w:marRight w:val="0"/>
          <w:marTop w:val="0"/>
          <w:marBottom w:val="0"/>
          <w:divBdr>
            <w:top w:val="none" w:sz="0" w:space="0" w:color="auto"/>
            <w:left w:val="none" w:sz="0" w:space="0" w:color="auto"/>
            <w:bottom w:val="none" w:sz="0" w:space="0" w:color="auto"/>
            <w:right w:val="none" w:sz="0" w:space="0" w:color="auto"/>
          </w:divBdr>
        </w:div>
        <w:div w:id="228539328">
          <w:marLeft w:val="0"/>
          <w:marRight w:val="0"/>
          <w:marTop w:val="0"/>
          <w:marBottom w:val="0"/>
          <w:divBdr>
            <w:top w:val="none" w:sz="0" w:space="0" w:color="auto"/>
            <w:left w:val="none" w:sz="0" w:space="0" w:color="auto"/>
            <w:bottom w:val="none" w:sz="0" w:space="0" w:color="auto"/>
            <w:right w:val="none" w:sz="0" w:space="0" w:color="auto"/>
          </w:divBdr>
        </w:div>
        <w:div w:id="1129780801">
          <w:marLeft w:val="0"/>
          <w:marRight w:val="0"/>
          <w:marTop w:val="0"/>
          <w:marBottom w:val="0"/>
          <w:divBdr>
            <w:top w:val="none" w:sz="0" w:space="0" w:color="auto"/>
            <w:left w:val="none" w:sz="0" w:space="0" w:color="auto"/>
            <w:bottom w:val="none" w:sz="0" w:space="0" w:color="auto"/>
            <w:right w:val="none" w:sz="0" w:space="0" w:color="auto"/>
          </w:divBdr>
        </w:div>
        <w:div w:id="1432239392">
          <w:marLeft w:val="0"/>
          <w:marRight w:val="0"/>
          <w:marTop w:val="0"/>
          <w:marBottom w:val="0"/>
          <w:divBdr>
            <w:top w:val="none" w:sz="0" w:space="0" w:color="auto"/>
            <w:left w:val="none" w:sz="0" w:space="0" w:color="auto"/>
            <w:bottom w:val="none" w:sz="0" w:space="0" w:color="auto"/>
            <w:right w:val="none" w:sz="0" w:space="0" w:color="auto"/>
          </w:divBdr>
        </w:div>
        <w:div w:id="318970754">
          <w:marLeft w:val="0"/>
          <w:marRight w:val="0"/>
          <w:marTop w:val="0"/>
          <w:marBottom w:val="0"/>
          <w:divBdr>
            <w:top w:val="none" w:sz="0" w:space="0" w:color="auto"/>
            <w:left w:val="none" w:sz="0" w:space="0" w:color="auto"/>
            <w:bottom w:val="none" w:sz="0" w:space="0" w:color="auto"/>
            <w:right w:val="none" w:sz="0" w:space="0" w:color="auto"/>
          </w:divBdr>
        </w:div>
        <w:div w:id="1706635289">
          <w:marLeft w:val="0"/>
          <w:marRight w:val="0"/>
          <w:marTop w:val="0"/>
          <w:marBottom w:val="0"/>
          <w:divBdr>
            <w:top w:val="none" w:sz="0" w:space="0" w:color="auto"/>
            <w:left w:val="none" w:sz="0" w:space="0" w:color="auto"/>
            <w:bottom w:val="none" w:sz="0" w:space="0" w:color="auto"/>
            <w:right w:val="none" w:sz="0" w:space="0" w:color="auto"/>
          </w:divBdr>
        </w:div>
        <w:div w:id="1113090644">
          <w:marLeft w:val="0"/>
          <w:marRight w:val="0"/>
          <w:marTop w:val="0"/>
          <w:marBottom w:val="0"/>
          <w:divBdr>
            <w:top w:val="none" w:sz="0" w:space="0" w:color="auto"/>
            <w:left w:val="none" w:sz="0" w:space="0" w:color="auto"/>
            <w:bottom w:val="none" w:sz="0" w:space="0" w:color="auto"/>
            <w:right w:val="none" w:sz="0" w:space="0" w:color="auto"/>
          </w:divBdr>
        </w:div>
        <w:div w:id="989943955">
          <w:marLeft w:val="0"/>
          <w:marRight w:val="0"/>
          <w:marTop w:val="0"/>
          <w:marBottom w:val="0"/>
          <w:divBdr>
            <w:top w:val="none" w:sz="0" w:space="0" w:color="auto"/>
            <w:left w:val="none" w:sz="0" w:space="0" w:color="auto"/>
            <w:bottom w:val="none" w:sz="0" w:space="0" w:color="auto"/>
            <w:right w:val="none" w:sz="0" w:space="0" w:color="auto"/>
          </w:divBdr>
        </w:div>
        <w:div w:id="370419152">
          <w:marLeft w:val="0"/>
          <w:marRight w:val="0"/>
          <w:marTop w:val="0"/>
          <w:marBottom w:val="0"/>
          <w:divBdr>
            <w:top w:val="none" w:sz="0" w:space="0" w:color="auto"/>
            <w:left w:val="none" w:sz="0" w:space="0" w:color="auto"/>
            <w:bottom w:val="none" w:sz="0" w:space="0" w:color="auto"/>
            <w:right w:val="none" w:sz="0" w:space="0" w:color="auto"/>
          </w:divBdr>
        </w:div>
        <w:div w:id="1090931049">
          <w:marLeft w:val="0"/>
          <w:marRight w:val="0"/>
          <w:marTop w:val="0"/>
          <w:marBottom w:val="0"/>
          <w:divBdr>
            <w:top w:val="none" w:sz="0" w:space="0" w:color="auto"/>
            <w:left w:val="none" w:sz="0" w:space="0" w:color="auto"/>
            <w:bottom w:val="none" w:sz="0" w:space="0" w:color="auto"/>
            <w:right w:val="none" w:sz="0" w:space="0" w:color="auto"/>
          </w:divBdr>
        </w:div>
        <w:div w:id="1303774422">
          <w:marLeft w:val="0"/>
          <w:marRight w:val="0"/>
          <w:marTop w:val="0"/>
          <w:marBottom w:val="0"/>
          <w:divBdr>
            <w:top w:val="none" w:sz="0" w:space="0" w:color="auto"/>
            <w:left w:val="none" w:sz="0" w:space="0" w:color="auto"/>
            <w:bottom w:val="none" w:sz="0" w:space="0" w:color="auto"/>
            <w:right w:val="none" w:sz="0" w:space="0" w:color="auto"/>
          </w:divBdr>
        </w:div>
      </w:divsChild>
    </w:div>
    <w:div w:id="1141926363">
      <w:bodyDiv w:val="1"/>
      <w:marLeft w:val="0"/>
      <w:marRight w:val="0"/>
      <w:marTop w:val="0"/>
      <w:marBottom w:val="0"/>
      <w:divBdr>
        <w:top w:val="none" w:sz="0" w:space="0" w:color="auto"/>
        <w:left w:val="none" w:sz="0" w:space="0" w:color="auto"/>
        <w:bottom w:val="none" w:sz="0" w:space="0" w:color="auto"/>
        <w:right w:val="none" w:sz="0" w:space="0" w:color="auto"/>
      </w:divBdr>
      <w:divsChild>
        <w:div w:id="26608199">
          <w:marLeft w:val="0"/>
          <w:marRight w:val="0"/>
          <w:marTop w:val="0"/>
          <w:marBottom w:val="0"/>
          <w:divBdr>
            <w:top w:val="none" w:sz="0" w:space="0" w:color="auto"/>
            <w:left w:val="none" w:sz="0" w:space="0" w:color="auto"/>
            <w:bottom w:val="none" w:sz="0" w:space="0" w:color="auto"/>
            <w:right w:val="none" w:sz="0" w:space="0" w:color="auto"/>
          </w:divBdr>
        </w:div>
        <w:div w:id="1494908915">
          <w:marLeft w:val="0"/>
          <w:marRight w:val="0"/>
          <w:marTop w:val="0"/>
          <w:marBottom w:val="0"/>
          <w:divBdr>
            <w:top w:val="none" w:sz="0" w:space="0" w:color="auto"/>
            <w:left w:val="none" w:sz="0" w:space="0" w:color="auto"/>
            <w:bottom w:val="none" w:sz="0" w:space="0" w:color="auto"/>
            <w:right w:val="none" w:sz="0" w:space="0" w:color="auto"/>
          </w:divBdr>
        </w:div>
        <w:div w:id="1117867741">
          <w:marLeft w:val="0"/>
          <w:marRight w:val="0"/>
          <w:marTop w:val="0"/>
          <w:marBottom w:val="0"/>
          <w:divBdr>
            <w:top w:val="none" w:sz="0" w:space="0" w:color="auto"/>
            <w:left w:val="none" w:sz="0" w:space="0" w:color="auto"/>
            <w:bottom w:val="none" w:sz="0" w:space="0" w:color="auto"/>
            <w:right w:val="none" w:sz="0" w:space="0" w:color="auto"/>
          </w:divBdr>
        </w:div>
        <w:div w:id="561411017">
          <w:marLeft w:val="0"/>
          <w:marRight w:val="0"/>
          <w:marTop w:val="0"/>
          <w:marBottom w:val="0"/>
          <w:divBdr>
            <w:top w:val="none" w:sz="0" w:space="0" w:color="auto"/>
            <w:left w:val="none" w:sz="0" w:space="0" w:color="auto"/>
            <w:bottom w:val="none" w:sz="0" w:space="0" w:color="auto"/>
            <w:right w:val="none" w:sz="0" w:space="0" w:color="auto"/>
          </w:divBdr>
        </w:div>
        <w:div w:id="404688170">
          <w:marLeft w:val="0"/>
          <w:marRight w:val="0"/>
          <w:marTop w:val="0"/>
          <w:marBottom w:val="0"/>
          <w:divBdr>
            <w:top w:val="none" w:sz="0" w:space="0" w:color="auto"/>
            <w:left w:val="none" w:sz="0" w:space="0" w:color="auto"/>
            <w:bottom w:val="none" w:sz="0" w:space="0" w:color="auto"/>
            <w:right w:val="none" w:sz="0" w:space="0" w:color="auto"/>
          </w:divBdr>
        </w:div>
        <w:div w:id="493957910">
          <w:marLeft w:val="0"/>
          <w:marRight w:val="0"/>
          <w:marTop w:val="0"/>
          <w:marBottom w:val="0"/>
          <w:divBdr>
            <w:top w:val="none" w:sz="0" w:space="0" w:color="auto"/>
            <w:left w:val="none" w:sz="0" w:space="0" w:color="auto"/>
            <w:bottom w:val="none" w:sz="0" w:space="0" w:color="auto"/>
            <w:right w:val="none" w:sz="0" w:space="0" w:color="auto"/>
          </w:divBdr>
        </w:div>
        <w:div w:id="2055040908">
          <w:marLeft w:val="0"/>
          <w:marRight w:val="0"/>
          <w:marTop w:val="0"/>
          <w:marBottom w:val="0"/>
          <w:divBdr>
            <w:top w:val="none" w:sz="0" w:space="0" w:color="auto"/>
            <w:left w:val="none" w:sz="0" w:space="0" w:color="auto"/>
            <w:bottom w:val="none" w:sz="0" w:space="0" w:color="auto"/>
            <w:right w:val="none" w:sz="0" w:space="0" w:color="auto"/>
          </w:divBdr>
        </w:div>
        <w:div w:id="1932856409">
          <w:marLeft w:val="0"/>
          <w:marRight w:val="0"/>
          <w:marTop w:val="0"/>
          <w:marBottom w:val="0"/>
          <w:divBdr>
            <w:top w:val="none" w:sz="0" w:space="0" w:color="auto"/>
            <w:left w:val="none" w:sz="0" w:space="0" w:color="auto"/>
            <w:bottom w:val="none" w:sz="0" w:space="0" w:color="auto"/>
            <w:right w:val="none" w:sz="0" w:space="0" w:color="auto"/>
          </w:divBdr>
        </w:div>
        <w:div w:id="1184399012">
          <w:marLeft w:val="0"/>
          <w:marRight w:val="0"/>
          <w:marTop w:val="0"/>
          <w:marBottom w:val="0"/>
          <w:divBdr>
            <w:top w:val="none" w:sz="0" w:space="0" w:color="auto"/>
            <w:left w:val="none" w:sz="0" w:space="0" w:color="auto"/>
            <w:bottom w:val="none" w:sz="0" w:space="0" w:color="auto"/>
            <w:right w:val="none" w:sz="0" w:space="0" w:color="auto"/>
          </w:divBdr>
        </w:div>
        <w:div w:id="328145025">
          <w:marLeft w:val="0"/>
          <w:marRight w:val="0"/>
          <w:marTop w:val="0"/>
          <w:marBottom w:val="0"/>
          <w:divBdr>
            <w:top w:val="none" w:sz="0" w:space="0" w:color="auto"/>
            <w:left w:val="none" w:sz="0" w:space="0" w:color="auto"/>
            <w:bottom w:val="none" w:sz="0" w:space="0" w:color="auto"/>
            <w:right w:val="none" w:sz="0" w:space="0" w:color="auto"/>
          </w:divBdr>
        </w:div>
        <w:div w:id="418605824">
          <w:marLeft w:val="0"/>
          <w:marRight w:val="0"/>
          <w:marTop w:val="0"/>
          <w:marBottom w:val="0"/>
          <w:divBdr>
            <w:top w:val="none" w:sz="0" w:space="0" w:color="auto"/>
            <w:left w:val="none" w:sz="0" w:space="0" w:color="auto"/>
            <w:bottom w:val="none" w:sz="0" w:space="0" w:color="auto"/>
            <w:right w:val="none" w:sz="0" w:space="0" w:color="auto"/>
          </w:divBdr>
        </w:div>
        <w:div w:id="42485139">
          <w:marLeft w:val="0"/>
          <w:marRight w:val="0"/>
          <w:marTop w:val="0"/>
          <w:marBottom w:val="0"/>
          <w:divBdr>
            <w:top w:val="none" w:sz="0" w:space="0" w:color="auto"/>
            <w:left w:val="none" w:sz="0" w:space="0" w:color="auto"/>
            <w:bottom w:val="none" w:sz="0" w:space="0" w:color="auto"/>
            <w:right w:val="none" w:sz="0" w:space="0" w:color="auto"/>
          </w:divBdr>
        </w:div>
        <w:div w:id="813334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2020-04-26T11:30:00Z</dcterms:created>
  <dcterms:modified xsi:type="dcterms:W3CDTF">2020-04-26T11:30:00Z</dcterms:modified>
</cp:coreProperties>
</file>