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A90" w:rsidRPr="00CE7A90" w:rsidRDefault="00CE7A90" w:rsidP="00CE7A90">
      <w:pPr>
        <w:jc w:val="center"/>
        <w:rPr>
          <w:sz w:val="32"/>
          <w:szCs w:val="32"/>
        </w:rPr>
      </w:pPr>
      <w:bookmarkStart w:id="0" w:name="Anchor1"/>
      <w:bookmarkEnd w:id="0"/>
      <w:r w:rsidRPr="00CE7A90">
        <w:rPr>
          <w:sz w:val="32"/>
          <w:szCs w:val="32"/>
          <w:rtl/>
        </w:rPr>
        <w:t>الطعن رقم 2</w:t>
      </w:r>
      <w:bookmarkStart w:id="1" w:name="_GoBack"/>
      <w:bookmarkEnd w:id="1"/>
      <w:r w:rsidRPr="00CE7A90">
        <w:rPr>
          <w:sz w:val="32"/>
          <w:szCs w:val="32"/>
          <w:rtl/>
        </w:rPr>
        <w:t>050/2012</w:t>
      </w:r>
    </w:p>
    <w:p w:rsidR="00CE7A90" w:rsidRPr="00CE7A90" w:rsidRDefault="00CE7A90" w:rsidP="00CE7A90">
      <w:pPr>
        <w:rPr>
          <w:sz w:val="32"/>
          <w:szCs w:val="32"/>
        </w:rPr>
      </w:pPr>
      <w:bookmarkStart w:id="2" w:name="Anchor6"/>
      <w:bookmarkEnd w:id="2"/>
      <w:r w:rsidRPr="00CE7A90">
        <w:rPr>
          <w:sz w:val="32"/>
          <w:szCs w:val="32"/>
          <w:rtl/>
        </w:rPr>
        <w:t>هيئة المحكمة</w:t>
      </w:r>
      <w:r w:rsidRPr="00CE7A90">
        <w:rPr>
          <w:sz w:val="32"/>
          <w:szCs w:val="32"/>
        </w:rPr>
        <w:t xml:space="preserve">: </w:t>
      </w:r>
      <w:r w:rsidRPr="00CE7A90">
        <w:rPr>
          <w:sz w:val="32"/>
          <w:szCs w:val="32"/>
          <w:rtl/>
        </w:rPr>
        <w:t>برئاسة السيد المستشار عبدالعزيز الفهد وكيل المحكمة وعضوية السادة المستشارين يوسف العمران ومصطفى ثابت ومحمود التركاوي وعبدالرحمن مطاوع</w:t>
      </w:r>
    </w:p>
    <w:bookmarkStart w:id="3" w:name="Anchor22"/>
    <w:bookmarkEnd w:id="3"/>
    <w:p w:rsidR="00CE7A90" w:rsidRPr="00CE7A90" w:rsidRDefault="00CE7A90" w:rsidP="00CE7A90">
      <w:pPr>
        <w:rPr>
          <w:sz w:val="32"/>
          <w:szCs w:val="32"/>
        </w:rPr>
      </w:pPr>
      <w:r w:rsidRPr="00CE7A90">
        <w:rPr>
          <w:sz w:val="32"/>
          <w:szCs w:val="32"/>
        </w:rPr>
        <w:fldChar w:fldCharType="begin"/>
      </w:r>
      <w:r w:rsidRPr="00CE7A90">
        <w:rPr>
          <w:sz w:val="32"/>
          <w:szCs w:val="32"/>
        </w:rPr>
        <w:instrText xml:space="preserve"> HYPERLINK "http://www.law.gov.kw/KWT_CC-Ar/00_2014/00_%D8%A7%D9%84%D8%AF%D8%A7%D8%A6%D8%B1%D8%A9%20%D8%A7%D9%84%D8%AA%D8%AC%D8%A7%D8%B1%D9%8A%D8%A9/KWT-CC-Ar_2014-05-13_02050_Taan.html" \l "TM2014_2050_1" </w:instrText>
      </w:r>
      <w:r w:rsidRPr="00CE7A90">
        <w:rPr>
          <w:sz w:val="32"/>
          <w:szCs w:val="32"/>
        </w:rPr>
        <w:fldChar w:fldCharType="separate"/>
      </w:r>
      <w:r w:rsidRPr="00CE7A90">
        <w:rPr>
          <w:rStyle w:val="Hyperlink"/>
          <w:sz w:val="32"/>
          <w:szCs w:val="32"/>
        </w:rPr>
        <w:t xml:space="preserve">1- </w:t>
      </w:r>
      <w:r w:rsidRPr="00CE7A90">
        <w:rPr>
          <w:rStyle w:val="Hyperlink"/>
          <w:sz w:val="32"/>
          <w:szCs w:val="32"/>
          <w:rtl/>
        </w:rPr>
        <w:t>إن عمل القاضي يقتصر على تفسير مضمون العقود دون الخروج عن العبارات الواضحة فيها شرط تفسيرها تفسيراً صادقاً</w:t>
      </w:r>
      <w:r w:rsidRPr="00CE7A90">
        <w:rPr>
          <w:rStyle w:val="Hyperlink"/>
          <w:sz w:val="32"/>
          <w:szCs w:val="32"/>
        </w:rPr>
        <w:t>.</w:t>
      </w:r>
      <w:r w:rsidRPr="00CE7A90">
        <w:rPr>
          <w:sz w:val="32"/>
          <w:szCs w:val="32"/>
        </w:rPr>
        <w:fldChar w:fldCharType="end"/>
      </w:r>
    </w:p>
    <w:bookmarkStart w:id="4" w:name="Anchor33"/>
    <w:bookmarkEnd w:id="4"/>
    <w:p w:rsidR="00CE7A90" w:rsidRPr="00CE7A90" w:rsidRDefault="00CE7A90" w:rsidP="00CE7A90">
      <w:pPr>
        <w:rPr>
          <w:sz w:val="32"/>
          <w:szCs w:val="32"/>
        </w:rPr>
      </w:pPr>
      <w:r w:rsidRPr="00CE7A90">
        <w:rPr>
          <w:sz w:val="32"/>
          <w:szCs w:val="32"/>
        </w:rPr>
        <w:fldChar w:fldCharType="begin"/>
      </w:r>
      <w:r w:rsidRPr="00CE7A90">
        <w:rPr>
          <w:sz w:val="32"/>
          <w:szCs w:val="32"/>
        </w:rPr>
        <w:instrText xml:space="preserve"> HYPERLINK "http://www.law.gov.kw/KWT_CC-Ar/00_2014/00_%D8%A7%D9%84%D8%AF%D8%A7%D8%A6%D8%B1%D8%A9%20%D8%A7%D9%84%D8%AA%D8%AC%D8%A7%D8%B1%D9%8A%D8%A9/KWT-CC-Ar_2014-05-13_02050_Taan.html" \l "TM2014_2050_2" </w:instrText>
      </w:r>
      <w:r w:rsidRPr="00CE7A90">
        <w:rPr>
          <w:sz w:val="32"/>
          <w:szCs w:val="32"/>
        </w:rPr>
        <w:fldChar w:fldCharType="separate"/>
      </w:r>
      <w:r w:rsidRPr="00CE7A90">
        <w:rPr>
          <w:rStyle w:val="Hyperlink"/>
          <w:sz w:val="32"/>
          <w:szCs w:val="32"/>
        </w:rPr>
        <w:t xml:space="preserve">2- </w:t>
      </w:r>
      <w:r w:rsidRPr="00CE7A90">
        <w:rPr>
          <w:rStyle w:val="Hyperlink"/>
          <w:sz w:val="32"/>
          <w:szCs w:val="32"/>
          <w:rtl/>
        </w:rPr>
        <w:t>ان في العقود المبرمة بين البنوك وعملائها يجوز الاتفاق على سعر الفائدة الذي يسري على القروض شرط ألا يزيد عن الأسعار المعلنة من البنك المركزي بتاريخ إبرام العقد</w:t>
      </w:r>
      <w:r w:rsidRPr="00CE7A90">
        <w:rPr>
          <w:rStyle w:val="Hyperlink"/>
          <w:sz w:val="32"/>
          <w:szCs w:val="32"/>
        </w:rPr>
        <w:t>.</w:t>
      </w:r>
      <w:r w:rsidRPr="00CE7A90">
        <w:rPr>
          <w:sz w:val="32"/>
          <w:szCs w:val="32"/>
        </w:rPr>
        <w:fldChar w:fldCharType="end"/>
      </w:r>
    </w:p>
    <w:bookmarkStart w:id="5" w:name="Anchor51"/>
    <w:bookmarkEnd w:id="5"/>
    <w:p w:rsidR="00CE7A90" w:rsidRPr="00CE7A90" w:rsidRDefault="00CE7A90" w:rsidP="00CE7A90">
      <w:pPr>
        <w:rPr>
          <w:sz w:val="32"/>
          <w:szCs w:val="32"/>
        </w:rPr>
      </w:pPr>
      <w:r w:rsidRPr="00CE7A90">
        <w:rPr>
          <w:sz w:val="32"/>
          <w:szCs w:val="32"/>
        </w:rPr>
        <w:fldChar w:fldCharType="begin"/>
      </w:r>
      <w:r w:rsidRPr="00CE7A90">
        <w:rPr>
          <w:sz w:val="32"/>
          <w:szCs w:val="32"/>
        </w:rPr>
        <w:instrText xml:space="preserve"> HYPERLINK "http://www.law.gov.kw/KWT_CC-Ar/00_2014/00_%D8%A7%D9%84%D8%AF%D8%A7%D8%A6%D8%B1%D8%A9%20%D8%A7%D9%84%D8%AA%D8%AC%D8%A7%D8%B1%D9%8A%D8%A9/KWT-CC-Ar_2014-05-13_02050_Taan.html" \l "TM2014_2050_3" </w:instrText>
      </w:r>
      <w:r w:rsidRPr="00CE7A90">
        <w:rPr>
          <w:sz w:val="32"/>
          <w:szCs w:val="32"/>
        </w:rPr>
        <w:fldChar w:fldCharType="separate"/>
      </w:r>
      <w:r w:rsidRPr="00CE7A90">
        <w:rPr>
          <w:rStyle w:val="Hyperlink"/>
          <w:sz w:val="32"/>
          <w:szCs w:val="32"/>
        </w:rPr>
        <w:t xml:space="preserve">3- </w:t>
      </w:r>
      <w:r w:rsidRPr="00CE7A90">
        <w:rPr>
          <w:rStyle w:val="Hyperlink"/>
          <w:sz w:val="32"/>
          <w:szCs w:val="32"/>
          <w:rtl/>
        </w:rPr>
        <w:t>ان البنك في العقود المبرمة بينه وبين عملائه يجوز تخويله رفع سعر الفائدة المتفق عليه دون حاجة لموافقة مجددة من العميل ذلك طبقاً لما يصدره البنك المركزي</w:t>
      </w:r>
      <w:r w:rsidRPr="00CE7A90">
        <w:rPr>
          <w:rStyle w:val="Hyperlink"/>
          <w:sz w:val="32"/>
          <w:szCs w:val="32"/>
        </w:rPr>
        <w:t>.</w:t>
      </w:r>
      <w:r w:rsidRPr="00CE7A90">
        <w:rPr>
          <w:sz w:val="32"/>
          <w:szCs w:val="32"/>
        </w:rPr>
        <w:fldChar w:fldCharType="end"/>
      </w:r>
    </w:p>
    <w:bookmarkStart w:id="6" w:name="Anchor68"/>
    <w:bookmarkEnd w:id="6"/>
    <w:p w:rsidR="00CE7A90" w:rsidRPr="00CE7A90" w:rsidRDefault="00CE7A90" w:rsidP="00CE7A90">
      <w:pPr>
        <w:rPr>
          <w:sz w:val="32"/>
          <w:szCs w:val="32"/>
        </w:rPr>
      </w:pPr>
      <w:r w:rsidRPr="00CE7A90">
        <w:rPr>
          <w:sz w:val="32"/>
          <w:szCs w:val="32"/>
        </w:rPr>
        <w:fldChar w:fldCharType="begin"/>
      </w:r>
      <w:r w:rsidRPr="00CE7A90">
        <w:rPr>
          <w:sz w:val="32"/>
          <w:szCs w:val="32"/>
        </w:rPr>
        <w:instrText xml:space="preserve"> HYPERLINK "http://www.law.gov.kw/KWT_CC-Ar/00_2014/00_%D8%A7%D9%84%D8%AF%D8%A7%D8%A6%D8%B1%D8%A9%20%D8%A7%D9%84%D8%AA%D8%AC%D8%A7%D8%B1%D9%8A%D8%A9/KWT-CC-Ar_2014-05-13_02050_Taan.html" \l "TM2014_2050_4" </w:instrText>
      </w:r>
      <w:r w:rsidRPr="00CE7A90">
        <w:rPr>
          <w:sz w:val="32"/>
          <w:szCs w:val="32"/>
        </w:rPr>
        <w:fldChar w:fldCharType="separate"/>
      </w:r>
      <w:r w:rsidRPr="00CE7A90">
        <w:rPr>
          <w:rStyle w:val="Hyperlink"/>
          <w:sz w:val="32"/>
          <w:szCs w:val="32"/>
        </w:rPr>
        <w:t xml:space="preserve">4- </w:t>
      </w:r>
      <w:r w:rsidRPr="00CE7A90">
        <w:rPr>
          <w:rStyle w:val="Hyperlink"/>
          <w:sz w:val="32"/>
          <w:szCs w:val="32"/>
          <w:rtl/>
        </w:rPr>
        <w:t>إن اتفاق البنك وعميله صراحةً على سعر الفائدة في عقد القرض موضوع الدعوى وتخويل البنك تعديل الفائدة وزيادتها في حال زيادة بنك الكويت المركزي سعر الفائدة الإتفاقية هو باتفاق واضح ومخالفة الحكم بنود هذا العقد وانحرافه في تفسير نصوصه يعيبه بالقصور في السبيب</w:t>
      </w:r>
      <w:r w:rsidRPr="00CE7A90">
        <w:rPr>
          <w:rStyle w:val="Hyperlink"/>
          <w:sz w:val="32"/>
          <w:szCs w:val="32"/>
        </w:rPr>
        <w:t>.</w:t>
      </w:r>
      <w:r w:rsidRPr="00CE7A90">
        <w:rPr>
          <w:sz w:val="32"/>
          <w:szCs w:val="32"/>
        </w:rPr>
        <w:fldChar w:fldCharType="end"/>
      </w:r>
      <w:r w:rsidRPr="00CE7A90">
        <w:rPr>
          <w:sz w:val="32"/>
          <w:szCs w:val="32"/>
        </w:rPr>
        <w:br/>
      </w:r>
      <w:r w:rsidRPr="00CE7A90">
        <w:rPr>
          <w:sz w:val="32"/>
          <w:szCs w:val="32"/>
        </w:rPr>
        <w:br/>
      </w:r>
      <w:r w:rsidRPr="00CE7A90">
        <w:rPr>
          <w:sz w:val="32"/>
          <w:szCs w:val="32"/>
          <w:u w:val="single"/>
          <w:rtl/>
        </w:rPr>
        <w:t>ملاحظة</w:t>
      </w:r>
      <w:r w:rsidRPr="00CE7A90">
        <w:rPr>
          <w:sz w:val="32"/>
          <w:szCs w:val="32"/>
          <w:u w:val="single"/>
        </w:rPr>
        <w:t xml:space="preserve"> :</w:t>
      </w:r>
      <w:r w:rsidRPr="00CE7A90">
        <w:rPr>
          <w:sz w:val="32"/>
          <w:szCs w:val="32"/>
        </w:rPr>
        <w:br/>
      </w:r>
      <w:r w:rsidRPr="00CE7A90">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CE7A90" w:rsidRPr="00CE7A90" w:rsidRDefault="00CE7A90" w:rsidP="00CE7A90">
      <w:pPr>
        <w:rPr>
          <w:sz w:val="32"/>
          <w:szCs w:val="32"/>
        </w:rPr>
      </w:pPr>
      <w:bookmarkStart w:id="7" w:name="Anchor94"/>
      <w:bookmarkEnd w:id="7"/>
      <w:r w:rsidRPr="00CE7A90">
        <w:rPr>
          <w:b/>
          <w:bCs/>
          <w:sz w:val="32"/>
          <w:szCs w:val="32"/>
          <w:rtl/>
        </w:rPr>
        <w:t>المحكمة</w:t>
      </w:r>
    </w:p>
    <w:p w:rsidR="00CE7A90" w:rsidRPr="00CE7A90" w:rsidRDefault="00CE7A90" w:rsidP="00CE7A90">
      <w:pPr>
        <w:rPr>
          <w:sz w:val="32"/>
          <w:szCs w:val="32"/>
        </w:rPr>
      </w:pPr>
      <w:bookmarkStart w:id="8" w:name="Anchor95"/>
      <w:bookmarkEnd w:id="8"/>
      <w:r w:rsidRPr="00CE7A90">
        <w:rPr>
          <w:sz w:val="32"/>
          <w:szCs w:val="32"/>
          <w:rtl/>
        </w:rPr>
        <w:t>بعد الاطلاع على الأوراق، وسماع المرافعة، وبعد المداولة</w:t>
      </w:r>
      <w:r w:rsidRPr="00CE7A90">
        <w:rPr>
          <w:sz w:val="32"/>
          <w:szCs w:val="32"/>
        </w:rPr>
        <w:t>.</w:t>
      </w:r>
    </w:p>
    <w:p w:rsidR="00CE7A90" w:rsidRPr="00CE7A90" w:rsidRDefault="00CE7A90" w:rsidP="00CE7A90">
      <w:pPr>
        <w:rPr>
          <w:sz w:val="32"/>
          <w:szCs w:val="32"/>
        </w:rPr>
      </w:pPr>
      <w:bookmarkStart w:id="9" w:name="Anchor102"/>
      <w:bookmarkEnd w:id="9"/>
      <w:r w:rsidRPr="00CE7A90">
        <w:rPr>
          <w:sz w:val="32"/>
          <w:szCs w:val="32"/>
          <w:rtl/>
        </w:rPr>
        <w:t>حيث إن الطعن استوفى أوضاعه الشكلية</w:t>
      </w:r>
      <w:r w:rsidRPr="00CE7A90">
        <w:rPr>
          <w:sz w:val="32"/>
          <w:szCs w:val="32"/>
        </w:rPr>
        <w:t>.</w:t>
      </w:r>
    </w:p>
    <w:p w:rsidR="00CE7A90" w:rsidRPr="00CE7A90" w:rsidRDefault="00CE7A90" w:rsidP="00CE7A90">
      <w:pPr>
        <w:rPr>
          <w:sz w:val="32"/>
          <w:szCs w:val="32"/>
        </w:rPr>
      </w:pPr>
      <w:bookmarkStart w:id="10" w:name="Anchor107"/>
      <w:bookmarkEnd w:id="10"/>
      <w:r w:rsidRPr="00CE7A90">
        <w:rPr>
          <w:sz w:val="32"/>
          <w:szCs w:val="32"/>
          <w:rtl/>
        </w:rPr>
        <w:t xml:space="preserve">وحيث إن الوقائع </w:t>
      </w:r>
      <w:r w:rsidRPr="00CE7A90">
        <w:rPr>
          <w:sz w:val="32"/>
          <w:szCs w:val="32"/>
        </w:rPr>
        <w:t xml:space="preserve">– </w:t>
      </w:r>
      <w:r w:rsidRPr="00CE7A90">
        <w:rPr>
          <w:sz w:val="32"/>
          <w:szCs w:val="32"/>
          <w:rtl/>
        </w:rPr>
        <w:t xml:space="preserve">على ما يبين من الحكم المطعون فيه وسائر الأوراق </w:t>
      </w:r>
      <w:r w:rsidRPr="00CE7A90">
        <w:rPr>
          <w:sz w:val="32"/>
          <w:szCs w:val="32"/>
        </w:rPr>
        <w:t xml:space="preserve">– </w:t>
      </w:r>
      <w:r w:rsidRPr="00CE7A90">
        <w:rPr>
          <w:sz w:val="32"/>
          <w:szCs w:val="32"/>
          <w:rtl/>
        </w:rPr>
        <w:t xml:space="preserve">تتحصل في أن البنك الطاعن أقام على المطعون ضدها الدعوى رقم 1166 لسنة 2010 تجاري كلي بطلب الحكم وفقاً لطلباته الختامية بإلزام المطعون ضدها بأن تؤدي له مبلغ وقدره </w:t>
      </w:r>
      <w:r w:rsidRPr="00CE7A90">
        <w:rPr>
          <w:sz w:val="32"/>
          <w:szCs w:val="32"/>
        </w:rPr>
        <w:t xml:space="preserve">24105,545 </w:t>
      </w:r>
      <w:r w:rsidRPr="00CE7A90">
        <w:rPr>
          <w:sz w:val="32"/>
          <w:szCs w:val="32"/>
          <w:rtl/>
        </w:rPr>
        <w:t xml:space="preserve">د.ك قيمة الفوائد المستحقة عليها حتى 2011/5/27، </w:t>
      </w:r>
      <w:r w:rsidRPr="00CE7A90">
        <w:rPr>
          <w:sz w:val="32"/>
          <w:szCs w:val="32"/>
          <w:rtl/>
        </w:rPr>
        <w:lastRenderedPageBreak/>
        <w:t xml:space="preserve">وذلك على سند من القول، أنه بموجب عقد القرض المؤرخ </w:t>
      </w:r>
      <w:r w:rsidRPr="00CE7A90">
        <w:rPr>
          <w:sz w:val="32"/>
          <w:szCs w:val="32"/>
        </w:rPr>
        <w:t xml:space="preserve">2000/8/31 </w:t>
      </w:r>
      <w:r w:rsidRPr="00CE7A90">
        <w:rPr>
          <w:sz w:val="32"/>
          <w:szCs w:val="32"/>
          <w:rtl/>
        </w:rPr>
        <w:t xml:space="preserve">منح البنك الطاعن المطعون ضدها قرضاً مقداره </w:t>
      </w:r>
      <w:r w:rsidRPr="00CE7A90">
        <w:rPr>
          <w:sz w:val="32"/>
          <w:szCs w:val="32"/>
        </w:rPr>
        <w:t xml:space="preserve">20100 </w:t>
      </w:r>
      <w:r w:rsidRPr="00CE7A90">
        <w:rPr>
          <w:sz w:val="32"/>
          <w:szCs w:val="32"/>
          <w:rtl/>
        </w:rPr>
        <w:t xml:space="preserve">د.ك بفائدة مقدارها </w:t>
      </w:r>
      <w:r w:rsidRPr="00CE7A90">
        <w:rPr>
          <w:sz w:val="32"/>
          <w:szCs w:val="32"/>
        </w:rPr>
        <w:t>25‚11</w:t>
      </w:r>
      <w:r w:rsidRPr="00CE7A90">
        <w:rPr>
          <w:rFonts w:ascii="Arial" w:hAnsi="Arial" w:cs="Arial"/>
          <w:sz w:val="32"/>
          <w:szCs w:val="32"/>
        </w:rPr>
        <w:t>٪</w:t>
      </w:r>
      <w:r w:rsidRPr="00CE7A90">
        <w:rPr>
          <w:sz w:val="32"/>
          <w:szCs w:val="32"/>
        </w:rPr>
        <w:t xml:space="preserve"> </w:t>
      </w:r>
      <w:r w:rsidRPr="00CE7A90">
        <w:rPr>
          <w:sz w:val="32"/>
          <w:szCs w:val="32"/>
          <w:rtl/>
        </w:rPr>
        <w:t xml:space="preserve">سنوياً قابلة للزيادة وفقاً للسعر المقرر للفائدة من بنك الكويت المركزي، وإذ تقاعست الأخيرة عن السداد فاستصدر أمر الأداء رقم 1446 لسنة 2003 بإلزامها بأداء أصل الدين دون الفائدة، ومن ثم أقام الدعوى ندبت المحكمة خبيراً، وبعد أن أودع تقريره قضت المحكمة برفض الدعوى استأنف البنك الطاعن هذا الحكم بالاستئناف رقم 3617 لسنة 2012 تجاري وبجلسة </w:t>
      </w:r>
      <w:r w:rsidRPr="00CE7A90">
        <w:rPr>
          <w:sz w:val="32"/>
          <w:szCs w:val="32"/>
        </w:rPr>
        <w:t xml:space="preserve">2012/11/26 </w:t>
      </w:r>
      <w:r w:rsidRPr="00CE7A90">
        <w:rPr>
          <w:sz w:val="32"/>
          <w:szCs w:val="32"/>
          <w:rtl/>
        </w:rPr>
        <w:t>قضت المحكمة بتأييد الحكم المستأنف، طعن الطاعن في هذا الحكم بطريق التمييز وأودعت النيابة مذكرة أبدت فيها الرأي بتمييز الحكم المطعون فيه، وإذ عرض الطعن على هذه المحكمة في غرفة المشورة، حددت جلسة لنظره، وفيها التزمت النيابة رأيها</w:t>
      </w:r>
      <w:r w:rsidRPr="00CE7A90">
        <w:rPr>
          <w:sz w:val="32"/>
          <w:szCs w:val="32"/>
        </w:rPr>
        <w:t>.</w:t>
      </w:r>
    </w:p>
    <w:p w:rsidR="00CE7A90" w:rsidRPr="00CE7A90" w:rsidRDefault="00CE7A90" w:rsidP="00CE7A90">
      <w:pPr>
        <w:rPr>
          <w:sz w:val="32"/>
          <w:szCs w:val="32"/>
        </w:rPr>
      </w:pPr>
      <w:bookmarkStart w:id="11" w:name="Anchor203"/>
      <w:bookmarkEnd w:id="11"/>
      <w:r w:rsidRPr="00CE7A90">
        <w:rPr>
          <w:sz w:val="32"/>
          <w:szCs w:val="32"/>
          <w:rtl/>
        </w:rPr>
        <w:t xml:space="preserve">وحيث إن الطعن أقيم على سببين ينعي بهما الطاعن على الحكم المطعون فيه مخالفة القانون والخطأ في تطبيقه والقصور في التسبيب وفي بيان ذلك يقول، أن الحكم المطعون فيه إنتهى إلى رفض الدعوى إستناداً إلى ما انتهى إليه تقرير الخبير المنتدب المنتهى إلى تعذر إحتساب الفوائد المستحقة على المطعون ضدها لعدم تقديم البنك الطاعن ما يفيد توافق الفوائد المحتسبة مع قرارات البنك المركزي في حين أن عقد القرض موضوع النزاع قد تضمن في البند الثاني منه، سريان فائدة بواقع </w:t>
      </w:r>
      <w:r w:rsidRPr="00CE7A90">
        <w:rPr>
          <w:sz w:val="32"/>
          <w:szCs w:val="32"/>
        </w:rPr>
        <w:t>25‚11</w:t>
      </w:r>
      <w:r w:rsidRPr="00CE7A90">
        <w:rPr>
          <w:rFonts w:ascii="Arial" w:hAnsi="Arial" w:cs="Arial"/>
          <w:sz w:val="32"/>
          <w:szCs w:val="32"/>
        </w:rPr>
        <w:t>٪</w:t>
      </w:r>
      <w:r w:rsidRPr="00CE7A90">
        <w:rPr>
          <w:sz w:val="32"/>
          <w:szCs w:val="32"/>
        </w:rPr>
        <w:t xml:space="preserve"> </w:t>
      </w:r>
      <w:r w:rsidRPr="00CE7A90">
        <w:rPr>
          <w:sz w:val="32"/>
          <w:szCs w:val="32"/>
          <w:rtl/>
        </w:rPr>
        <w:t>سنوياً وذلك من يوم صرف مبلغ القرض أو جزء منه وأن تلك الفائدة الثابتة قابلة للزيادة وقت زيادة البنك المركزي لسعر الفائدة وإذ خالف الحكم بنود العقد المذكور وانحرف في تفسير نصوصه بما يعيبه ويستوجب تمييزه</w:t>
      </w:r>
      <w:r w:rsidRPr="00CE7A90">
        <w:rPr>
          <w:sz w:val="32"/>
          <w:szCs w:val="32"/>
        </w:rPr>
        <w:t>.</w:t>
      </w:r>
    </w:p>
    <w:p w:rsidR="00CE7A90" w:rsidRPr="00CE7A90" w:rsidRDefault="00CE7A90" w:rsidP="00CE7A90">
      <w:pPr>
        <w:rPr>
          <w:sz w:val="32"/>
          <w:szCs w:val="32"/>
        </w:rPr>
      </w:pPr>
      <w:bookmarkStart w:id="12" w:name="Anchor266"/>
      <w:bookmarkEnd w:id="12"/>
      <w:r w:rsidRPr="00CE7A90">
        <w:rPr>
          <w:sz w:val="32"/>
          <w:szCs w:val="32"/>
          <w:rtl/>
        </w:rPr>
        <w:t xml:space="preserve">وحيث إن هذا النعي سديد، ذلك أنه </w:t>
      </w:r>
      <w:bookmarkStart w:id="13" w:name="TM2014_2050_1"/>
      <w:bookmarkEnd w:id="13"/>
      <w:r w:rsidRPr="00CE7A90">
        <w:rPr>
          <w:b/>
          <w:bCs/>
          <w:sz w:val="32"/>
          <w:szCs w:val="32"/>
          <w:rtl/>
        </w:rPr>
        <w:t xml:space="preserve">من المقرر </w:t>
      </w:r>
      <w:r w:rsidRPr="00CE7A90">
        <w:rPr>
          <w:b/>
          <w:bCs/>
          <w:sz w:val="32"/>
          <w:szCs w:val="32"/>
        </w:rPr>
        <w:t xml:space="preserve">– </w:t>
      </w:r>
      <w:r w:rsidRPr="00CE7A90">
        <w:rPr>
          <w:b/>
          <w:bCs/>
          <w:sz w:val="32"/>
          <w:szCs w:val="32"/>
          <w:rtl/>
        </w:rPr>
        <w:t xml:space="preserve">في قضاء هذه المحكمة </w:t>
      </w:r>
      <w:r w:rsidRPr="00CE7A90">
        <w:rPr>
          <w:b/>
          <w:bCs/>
          <w:sz w:val="32"/>
          <w:szCs w:val="32"/>
        </w:rPr>
        <w:t xml:space="preserve">– </w:t>
      </w:r>
      <w:r w:rsidRPr="00CE7A90">
        <w:rPr>
          <w:b/>
          <w:bCs/>
          <w:sz w:val="32"/>
          <w:szCs w:val="32"/>
          <w:rtl/>
        </w:rPr>
        <w:t xml:space="preserve">وكان النص في المادة 193/1 من القانون المدني على أن </w:t>
      </w:r>
      <w:r w:rsidRPr="00CE7A90">
        <w:rPr>
          <w:b/>
          <w:bCs/>
          <w:sz w:val="32"/>
          <w:szCs w:val="32"/>
        </w:rPr>
        <w:t>"</w:t>
      </w:r>
      <w:r w:rsidRPr="00CE7A90">
        <w:rPr>
          <w:b/>
          <w:bCs/>
          <w:sz w:val="32"/>
          <w:szCs w:val="32"/>
          <w:rtl/>
        </w:rPr>
        <w:t>إذا كانت عبارات العقد واضحة فلا يجوز الانحراف عنها عن طريق تفسيرها للتعرف على إرادة المتعاقدين</w:t>
      </w:r>
      <w:r w:rsidRPr="00CE7A90">
        <w:rPr>
          <w:b/>
          <w:bCs/>
          <w:sz w:val="32"/>
          <w:szCs w:val="32"/>
        </w:rPr>
        <w:t xml:space="preserve">" </w:t>
      </w:r>
      <w:r w:rsidRPr="00CE7A90">
        <w:rPr>
          <w:b/>
          <w:bCs/>
          <w:sz w:val="32"/>
          <w:szCs w:val="32"/>
          <w:rtl/>
        </w:rPr>
        <w:t>والنص في المادة 196 منه على أن "العقد شريعة المتعاقدين فلا يجوز لأحدهما أن يستقل بنقضه أو تعديل أحكامه إلا في حدود ما يسمح به الاتفاق أو يقضي به القانون" يدل على أن مبدأ سلطان الإرادة ما زال يسود الفكر القانوني ولازم ذلك أن ما اتفق عليه المتعاقدان من وقع صحيحاً لا يخالف النظام العام أو الأداب أصبح ملزماً للطرفين فلا يجوز لإيهما أن ينقض العقد أو يعدله على غير مقتضى شروطه ما لم يتفق على ذلك مع الطرف الآخر، كما يمتنع ذلك على القاضي لأنه لا يتولى إنشاء العقود نيابة عن عاقديها وإنما يقتصر عمله على تفسير مضمونها وهو ملزم عند وضوح عبارات العقد بعدم الخروج عليها باعتبارها تفسيراً صادقاً عن إرادة المتعاقدين المشتركة وذلك رعاية لمبدأ سلطان الإرادة،</w:t>
      </w:r>
    </w:p>
    <w:p w:rsidR="00CE7A90" w:rsidRPr="00CE7A90" w:rsidRDefault="00CE7A90" w:rsidP="00CE7A90">
      <w:pPr>
        <w:rPr>
          <w:sz w:val="32"/>
          <w:szCs w:val="32"/>
        </w:rPr>
      </w:pPr>
      <w:bookmarkStart w:id="14" w:name="Anchor349"/>
      <w:bookmarkStart w:id="15" w:name="TM2014_2050_2"/>
      <w:bookmarkEnd w:id="14"/>
      <w:bookmarkEnd w:id="15"/>
      <w:r w:rsidRPr="00CE7A90">
        <w:rPr>
          <w:b/>
          <w:bCs/>
          <w:sz w:val="32"/>
          <w:szCs w:val="32"/>
          <w:rtl/>
        </w:rPr>
        <w:t>وإذ كانت العلاقة بين البنوك وعملائها تخضع بحسب الأصل لمبدأ سلطان الإرادة بما مؤداه أنه يجوز الاتفاق في العقود المبرمة بينهما على سعر الفائدة الذي يسري على القروض التي تمنحها البنوك لهم، بشرط ألا يزيد على الأسعار المعلنة من البنك المركزي في تاريخ إبرام الاتفاق، عملاً بالمادة 111/1 من قانون التجارة</w:t>
      </w:r>
    </w:p>
    <w:p w:rsidR="00CE7A90" w:rsidRPr="00CE7A90" w:rsidRDefault="00CE7A90" w:rsidP="00CE7A90">
      <w:pPr>
        <w:rPr>
          <w:sz w:val="32"/>
          <w:szCs w:val="32"/>
        </w:rPr>
      </w:pPr>
      <w:bookmarkStart w:id="16" w:name="Anchor378"/>
      <w:bookmarkStart w:id="17" w:name="TM2014_2050_3"/>
      <w:bookmarkEnd w:id="16"/>
      <w:bookmarkEnd w:id="17"/>
      <w:r w:rsidRPr="00CE7A90">
        <w:rPr>
          <w:b/>
          <w:bCs/>
          <w:sz w:val="32"/>
          <w:szCs w:val="32"/>
          <w:rtl/>
        </w:rPr>
        <w:t xml:space="preserve">كما يجوز الاتفاق أيضاً في هذه العقود على تخويل البنك رخصة رفع سعر الفائدة المتفق عليه دون حاجة لموافقة مجددة من العميل وذلك طبقاً لما يصدره البنك المركزي وذلك متى كانت هذه العقود قد تضمنت الإشارة صراحة على إعمال هذه التعديلات وذلك طبقاً لنص المادة 74 القانون 32 لسنة </w:t>
      </w:r>
      <w:r w:rsidRPr="00CE7A90">
        <w:rPr>
          <w:b/>
          <w:bCs/>
          <w:sz w:val="32"/>
          <w:szCs w:val="32"/>
        </w:rPr>
        <w:t>1968</w:t>
      </w:r>
      <w:r w:rsidRPr="00CE7A90">
        <w:rPr>
          <w:sz w:val="32"/>
          <w:szCs w:val="32"/>
        </w:rPr>
        <w:t xml:space="preserve"> </w:t>
      </w:r>
      <w:r w:rsidRPr="00CE7A90">
        <w:rPr>
          <w:sz w:val="32"/>
          <w:szCs w:val="32"/>
          <w:rtl/>
        </w:rPr>
        <w:t xml:space="preserve">لما كان ذلك، وكان </w:t>
      </w:r>
      <w:bookmarkStart w:id="18" w:name="TM2014_2050_4"/>
      <w:bookmarkEnd w:id="18"/>
      <w:r w:rsidRPr="00CE7A90">
        <w:rPr>
          <w:b/>
          <w:bCs/>
          <w:sz w:val="32"/>
          <w:szCs w:val="32"/>
          <w:rtl/>
        </w:rPr>
        <w:t xml:space="preserve">الثابت من عقد القرض المؤرخ 2000/8/31 والمبرم بين البنك الطاعن والمطعون ضدها أنهما اتفقا في البند الثاني فقرة 10/2 منه على أن مبلغ القرض يسري عليه فائدة مقدارها </w:t>
      </w:r>
      <w:r w:rsidRPr="00CE7A90">
        <w:rPr>
          <w:b/>
          <w:bCs/>
          <w:sz w:val="32"/>
          <w:szCs w:val="32"/>
        </w:rPr>
        <w:t>25‚11</w:t>
      </w:r>
      <w:r w:rsidRPr="00CE7A90">
        <w:rPr>
          <w:b/>
          <w:bCs/>
          <w:sz w:val="32"/>
          <w:szCs w:val="32"/>
          <w:rtl/>
        </w:rPr>
        <w:t xml:space="preserve">٪ وهي تشمل على فائدة مقدارها </w:t>
      </w:r>
      <w:r w:rsidRPr="00CE7A90">
        <w:rPr>
          <w:b/>
          <w:bCs/>
          <w:sz w:val="32"/>
          <w:szCs w:val="32"/>
        </w:rPr>
        <w:t>4</w:t>
      </w:r>
      <w:r w:rsidRPr="00CE7A90">
        <w:rPr>
          <w:b/>
          <w:bCs/>
          <w:sz w:val="32"/>
          <w:szCs w:val="32"/>
          <w:rtl/>
        </w:rPr>
        <w:t xml:space="preserve">٪ سنوياً فوق سعر الخصم المعلن من بنك الكويت المركزي وقت إبرام العقد فإن مؤدى ذلك أن طرفي العقد قد اتفقا صراحة على أن الفائدة المتفق على سريانها على مبلغ القرض حتى تمام الوفاء بكافة مستحقاته وأن للبنك الحق في تعديل الفائدة المذكورة بالزيادة في أي وقت يشاء في حالة زيادة الحد الأقصى المقرر لسعر الفائدة الاتفاقية من قبل بنك الكويت المركزي مما تكون معه إرادة طرفي العقد قد اتجهت إلى أن الفائدة </w:t>
      </w:r>
      <w:r w:rsidRPr="00CE7A90">
        <w:rPr>
          <w:b/>
          <w:bCs/>
          <w:sz w:val="32"/>
          <w:szCs w:val="32"/>
        </w:rPr>
        <w:t>25‚11</w:t>
      </w:r>
      <w:r w:rsidRPr="00CE7A90">
        <w:rPr>
          <w:b/>
          <w:bCs/>
          <w:sz w:val="32"/>
          <w:szCs w:val="32"/>
          <w:rtl/>
        </w:rPr>
        <w:t>٪ هي الحد الأدنى للفائدة ومن ثم فهي فائدة ثابتة قابلة للزيادة وإذ طالب البنك الطاعن في الدعوى الماثلة هذه الفائدة دون زيادة وفقاً لما اتجهت إليه إرادة الطرفين وإذ خالف الحكم المطعون فيه هذا النظر على سند من تفسيره لعبارات البند الثاني سالف الذكر بما لا تحتمله ولم يأخذ بمعناها الواضح بالتطبيق لنص المادة 193 القانون المدني فإنه يكون معيباً بما يوجب تمييزه</w:t>
      </w:r>
      <w:r w:rsidRPr="00CE7A90">
        <w:rPr>
          <w:b/>
          <w:bCs/>
          <w:sz w:val="32"/>
          <w:szCs w:val="32"/>
        </w:rPr>
        <w:t>.</w:t>
      </w:r>
    </w:p>
    <w:p w:rsidR="00CE7A90" w:rsidRPr="00CE7A90" w:rsidRDefault="00CE7A90" w:rsidP="00CE7A90">
      <w:pPr>
        <w:rPr>
          <w:sz w:val="32"/>
          <w:szCs w:val="32"/>
        </w:rPr>
      </w:pPr>
      <w:bookmarkStart w:id="19" w:name="Anchor497"/>
      <w:bookmarkEnd w:id="19"/>
      <w:r w:rsidRPr="00CE7A90">
        <w:rPr>
          <w:sz w:val="32"/>
          <w:szCs w:val="32"/>
          <w:rtl/>
        </w:rPr>
        <w:t>وحيث أنه عن موضوع الاستئناف رقم 3617 لسنة 2012 تجاري ولما تقدم وكانت الأوراق بحالتها غير كافية لتكوين عقيدة المحكمة فيما ترى معه إعادة الأوراق إلى إدارة الخبراء لتنفيذ المأمورية الموضحة بمنطوق هذا الحكم</w:t>
      </w:r>
      <w:r w:rsidRPr="00CE7A90">
        <w:rPr>
          <w:sz w:val="32"/>
          <w:szCs w:val="32"/>
        </w:rPr>
        <w:t>.</w:t>
      </w:r>
    </w:p>
    <w:p w:rsidR="00CE7A90" w:rsidRPr="00CE7A90" w:rsidRDefault="00CE7A90" w:rsidP="00CE7A90">
      <w:pPr>
        <w:rPr>
          <w:sz w:val="32"/>
          <w:szCs w:val="32"/>
        </w:rPr>
      </w:pPr>
      <w:bookmarkStart w:id="20" w:name="Anchor517"/>
      <w:bookmarkEnd w:id="20"/>
      <w:r w:rsidRPr="00CE7A90">
        <w:rPr>
          <w:b/>
          <w:bCs/>
          <w:sz w:val="32"/>
          <w:szCs w:val="32"/>
          <w:rtl/>
        </w:rPr>
        <w:t>لذلك</w:t>
      </w:r>
    </w:p>
    <w:p w:rsidR="00CE7A90" w:rsidRPr="00CE7A90" w:rsidRDefault="00CE7A90" w:rsidP="00CE7A90">
      <w:pPr>
        <w:rPr>
          <w:sz w:val="32"/>
          <w:szCs w:val="32"/>
        </w:rPr>
      </w:pPr>
      <w:bookmarkStart w:id="21" w:name="Anchor518"/>
      <w:bookmarkEnd w:id="21"/>
      <w:r w:rsidRPr="00CE7A90">
        <w:rPr>
          <w:b/>
          <w:bCs/>
          <w:sz w:val="32"/>
          <w:szCs w:val="32"/>
          <w:rtl/>
        </w:rPr>
        <w:t>حكمت المحكمة</w:t>
      </w:r>
      <w:r w:rsidRPr="00CE7A90">
        <w:rPr>
          <w:b/>
          <w:bCs/>
          <w:sz w:val="32"/>
          <w:szCs w:val="32"/>
        </w:rPr>
        <w:t xml:space="preserve">:- </w:t>
      </w:r>
      <w:r w:rsidRPr="00CE7A90">
        <w:rPr>
          <w:b/>
          <w:bCs/>
          <w:sz w:val="32"/>
          <w:szCs w:val="32"/>
          <w:rtl/>
        </w:rPr>
        <w:t>أولاً</w:t>
      </w:r>
      <w:r w:rsidRPr="00CE7A90">
        <w:rPr>
          <w:b/>
          <w:bCs/>
          <w:sz w:val="32"/>
          <w:szCs w:val="32"/>
        </w:rPr>
        <w:t>:</w:t>
      </w:r>
      <w:r w:rsidRPr="00CE7A90">
        <w:rPr>
          <w:sz w:val="32"/>
          <w:szCs w:val="32"/>
        </w:rPr>
        <w:t xml:space="preserve"> </w:t>
      </w:r>
      <w:r w:rsidRPr="00CE7A90">
        <w:rPr>
          <w:sz w:val="32"/>
          <w:szCs w:val="32"/>
          <w:rtl/>
        </w:rPr>
        <w:t>بقبول الطعن شكلاً، وفي الموضوع بتمييز الحكم المطعون فيه وألزمت المطعون ضدها المصروفات وعشرين ديناراً مقابل أتعاب المحاماة</w:t>
      </w:r>
      <w:r w:rsidRPr="00CE7A90">
        <w:rPr>
          <w:sz w:val="32"/>
          <w:szCs w:val="32"/>
        </w:rPr>
        <w:t>.</w:t>
      </w:r>
    </w:p>
    <w:p w:rsidR="00CE7A90" w:rsidRPr="00CE7A90" w:rsidRDefault="00CE7A90" w:rsidP="00CE7A90">
      <w:pPr>
        <w:rPr>
          <w:sz w:val="32"/>
          <w:szCs w:val="32"/>
        </w:rPr>
      </w:pPr>
      <w:bookmarkStart w:id="22" w:name="Anchor533"/>
      <w:bookmarkEnd w:id="22"/>
      <w:r w:rsidRPr="00CE7A90">
        <w:rPr>
          <w:b/>
          <w:bCs/>
          <w:sz w:val="32"/>
          <w:szCs w:val="32"/>
          <w:rtl/>
        </w:rPr>
        <w:t>ثانياً</w:t>
      </w:r>
      <w:r w:rsidRPr="00CE7A90">
        <w:rPr>
          <w:b/>
          <w:bCs/>
          <w:sz w:val="32"/>
          <w:szCs w:val="32"/>
        </w:rPr>
        <w:t>:</w:t>
      </w:r>
      <w:r w:rsidRPr="00CE7A90">
        <w:rPr>
          <w:sz w:val="32"/>
          <w:szCs w:val="32"/>
        </w:rPr>
        <w:t xml:space="preserve"> </w:t>
      </w:r>
      <w:r w:rsidRPr="00CE7A90">
        <w:rPr>
          <w:sz w:val="32"/>
          <w:szCs w:val="32"/>
          <w:rtl/>
        </w:rPr>
        <w:t xml:space="preserve">وقبل الفصل في موضوع الاستئناف رقم 3617 لسنة 2012 تجاري بإعادة الأوراق إلى إدارة الخبراء بوزارة العدل لتندب أحد خبرائها المختصين تكون مهمته الاطلاع على أوراق الدعوى وعقد القرض المؤرخ 2000/8/31 موضوع النزاع وما عسى أن يقدمه الخصوم ومستندات وذلك لبيان طبيعة العلاقة بين طرفي التداعي وسندها وتاريخ نشأتها واحتساب الفوائد للمستأنف من تاريخ منح القرض حتى تاريخ تقدم الأخير بأمر الأداء رقم 1446 لسنة 2003 وكذا احتساب الفوائد حتى تاريخ السداد وكذلك بيان عما إذا كانت المستأنف ضدها قد قامت بسداد قيمة القرض تنفيذاً لأمر الأداء سالف الذكر من عدمه وفي حالة الأولى بيان تاريخ سداد القرض وصرحت للخبير في سبيل أداء مأموريته سماع أقوال الطرفين وشهودهما ومن يرى لزوماً لسماع أقواله بغير حلف يمين أو الانتقال إلى أي جهة حكومية أو غير حكومية يري ضرورة الانتقال إليها والاطلاع على ما لديها من مستندات لازمة لإنجاز المأمورية وكلفت المستأنف بإيداع أمانة تكميلية مقدارها </w:t>
      </w:r>
      <w:r w:rsidRPr="00CE7A90">
        <w:rPr>
          <w:sz w:val="32"/>
          <w:szCs w:val="32"/>
        </w:rPr>
        <w:t xml:space="preserve">50 </w:t>
      </w:r>
      <w:r w:rsidRPr="00CE7A90">
        <w:rPr>
          <w:sz w:val="32"/>
          <w:szCs w:val="32"/>
          <w:rtl/>
        </w:rPr>
        <w:t>د.ك بخزينة المحكمة على ذمة أتعاب ومصاريف الخبير وحددت جلسة 2014/6/3 لنظر الدعوى في حالة عدم إيداع الأمانة وجلسة 2014/6/17 لمثول الخصوم أمام الخبير في حالة سداد الأمانة وجلسة 2014/9/16 ليودع الخبير تقريره وأبقت الفصل في المصروفات واعتبرت النطق بالحكم بمثابة إعلان للخصوم</w:t>
      </w:r>
      <w:r w:rsidRPr="00CE7A90">
        <w:rPr>
          <w:sz w:val="32"/>
          <w:szCs w:val="32"/>
        </w:rPr>
        <w:t>.</w:t>
      </w:r>
    </w:p>
    <w:p w:rsidR="00CE7A90" w:rsidRPr="00CE7A90" w:rsidRDefault="00CE7A90" w:rsidP="00CE7A90">
      <w:pPr>
        <w:rPr>
          <w:sz w:val="32"/>
          <w:szCs w:val="32"/>
        </w:rPr>
      </w:pPr>
    </w:p>
    <w:p w:rsidR="00CE7A90" w:rsidRPr="00CE7A90" w:rsidRDefault="00CE7A90" w:rsidP="00CE7A90">
      <w:pPr>
        <w:rPr>
          <w:sz w:val="32"/>
          <w:szCs w:val="32"/>
        </w:rPr>
      </w:pPr>
      <w:bookmarkStart w:id="23" w:name="Anchor639"/>
      <w:bookmarkEnd w:id="23"/>
      <w:r w:rsidRPr="00CE7A90">
        <w:rPr>
          <w:sz w:val="32"/>
          <w:szCs w:val="32"/>
        </w:rPr>
        <w:t>* * *</w:t>
      </w:r>
    </w:p>
    <w:p w:rsidR="00D32E0F" w:rsidRPr="00CE7A90" w:rsidRDefault="00D32E0F">
      <w:pPr>
        <w:rPr>
          <w:sz w:val="32"/>
          <w:szCs w:val="32"/>
        </w:rPr>
      </w:pPr>
    </w:p>
    <w:sectPr w:rsidR="00D32E0F" w:rsidRPr="00CE7A90"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396"/>
    <w:rsid w:val="0003272B"/>
    <w:rsid w:val="00CE7A90"/>
    <w:rsid w:val="00D32E0F"/>
    <w:rsid w:val="00D753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7A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7A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78170">
      <w:bodyDiv w:val="1"/>
      <w:marLeft w:val="0"/>
      <w:marRight w:val="0"/>
      <w:marTop w:val="0"/>
      <w:marBottom w:val="0"/>
      <w:divBdr>
        <w:top w:val="none" w:sz="0" w:space="0" w:color="auto"/>
        <w:left w:val="none" w:sz="0" w:space="0" w:color="auto"/>
        <w:bottom w:val="none" w:sz="0" w:space="0" w:color="auto"/>
        <w:right w:val="none" w:sz="0" w:space="0" w:color="auto"/>
      </w:divBdr>
      <w:divsChild>
        <w:div w:id="123932059">
          <w:marLeft w:val="0"/>
          <w:marRight w:val="0"/>
          <w:marTop w:val="0"/>
          <w:marBottom w:val="0"/>
          <w:divBdr>
            <w:top w:val="none" w:sz="0" w:space="0" w:color="auto"/>
            <w:left w:val="none" w:sz="0" w:space="0" w:color="auto"/>
            <w:bottom w:val="none" w:sz="0" w:space="0" w:color="auto"/>
            <w:right w:val="none" w:sz="0" w:space="0" w:color="auto"/>
          </w:divBdr>
        </w:div>
        <w:div w:id="294065130">
          <w:marLeft w:val="0"/>
          <w:marRight w:val="0"/>
          <w:marTop w:val="0"/>
          <w:marBottom w:val="0"/>
          <w:divBdr>
            <w:top w:val="none" w:sz="0" w:space="0" w:color="auto"/>
            <w:left w:val="none" w:sz="0" w:space="0" w:color="auto"/>
            <w:bottom w:val="none" w:sz="0" w:space="0" w:color="auto"/>
            <w:right w:val="none" w:sz="0" w:space="0" w:color="auto"/>
          </w:divBdr>
        </w:div>
        <w:div w:id="2032103315">
          <w:marLeft w:val="0"/>
          <w:marRight w:val="0"/>
          <w:marTop w:val="0"/>
          <w:marBottom w:val="0"/>
          <w:divBdr>
            <w:top w:val="none" w:sz="0" w:space="0" w:color="auto"/>
            <w:left w:val="none" w:sz="0" w:space="0" w:color="auto"/>
            <w:bottom w:val="none" w:sz="0" w:space="0" w:color="auto"/>
            <w:right w:val="none" w:sz="0" w:space="0" w:color="auto"/>
          </w:divBdr>
        </w:div>
        <w:div w:id="209465797">
          <w:marLeft w:val="0"/>
          <w:marRight w:val="0"/>
          <w:marTop w:val="0"/>
          <w:marBottom w:val="0"/>
          <w:divBdr>
            <w:top w:val="none" w:sz="0" w:space="0" w:color="auto"/>
            <w:left w:val="none" w:sz="0" w:space="0" w:color="auto"/>
            <w:bottom w:val="none" w:sz="0" w:space="0" w:color="auto"/>
            <w:right w:val="none" w:sz="0" w:space="0" w:color="auto"/>
          </w:divBdr>
        </w:div>
        <w:div w:id="1806773864">
          <w:marLeft w:val="0"/>
          <w:marRight w:val="0"/>
          <w:marTop w:val="0"/>
          <w:marBottom w:val="0"/>
          <w:divBdr>
            <w:top w:val="none" w:sz="0" w:space="0" w:color="auto"/>
            <w:left w:val="none" w:sz="0" w:space="0" w:color="auto"/>
            <w:bottom w:val="none" w:sz="0" w:space="0" w:color="auto"/>
            <w:right w:val="none" w:sz="0" w:space="0" w:color="auto"/>
          </w:divBdr>
        </w:div>
        <w:div w:id="1777603419">
          <w:marLeft w:val="0"/>
          <w:marRight w:val="0"/>
          <w:marTop w:val="0"/>
          <w:marBottom w:val="0"/>
          <w:divBdr>
            <w:top w:val="none" w:sz="0" w:space="0" w:color="auto"/>
            <w:left w:val="none" w:sz="0" w:space="0" w:color="auto"/>
            <w:bottom w:val="none" w:sz="0" w:space="0" w:color="auto"/>
            <w:right w:val="none" w:sz="0" w:space="0" w:color="auto"/>
          </w:divBdr>
        </w:div>
        <w:div w:id="489566067">
          <w:marLeft w:val="0"/>
          <w:marRight w:val="0"/>
          <w:marTop w:val="0"/>
          <w:marBottom w:val="0"/>
          <w:divBdr>
            <w:top w:val="none" w:sz="0" w:space="0" w:color="auto"/>
            <w:left w:val="none" w:sz="0" w:space="0" w:color="auto"/>
            <w:bottom w:val="none" w:sz="0" w:space="0" w:color="auto"/>
            <w:right w:val="none" w:sz="0" w:space="0" w:color="auto"/>
          </w:divBdr>
        </w:div>
        <w:div w:id="1545562513">
          <w:marLeft w:val="0"/>
          <w:marRight w:val="0"/>
          <w:marTop w:val="0"/>
          <w:marBottom w:val="0"/>
          <w:divBdr>
            <w:top w:val="none" w:sz="0" w:space="0" w:color="auto"/>
            <w:left w:val="none" w:sz="0" w:space="0" w:color="auto"/>
            <w:bottom w:val="none" w:sz="0" w:space="0" w:color="auto"/>
            <w:right w:val="none" w:sz="0" w:space="0" w:color="auto"/>
          </w:divBdr>
        </w:div>
        <w:div w:id="2139104207">
          <w:marLeft w:val="0"/>
          <w:marRight w:val="0"/>
          <w:marTop w:val="0"/>
          <w:marBottom w:val="0"/>
          <w:divBdr>
            <w:top w:val="none" w:sz="0" w:space="0" w:color="auto"/>
            <w:left w:val="none" w:sz="0" w:space="0" w:color="auto"/>
            <w:bottom w:val="none" w:sz="0" w:space="0" w:color="auto"/>
            <w:right w:val="none" w:sz="0" w:space="0" w:color="auto"/>
          </w:divBdr>
        </w:div>
        <w:div w:id="1116633347">
          <w:marLeft w:val="0"/>
          <w:marRight w:val="0"/>
          <w:marTop w:val="0"/>
          <w:marBottom w:val="0"/>
          <w:divBdr>
            <w:top w:val="none" w:sz="0" w:space="0" w:color="auto"/>
            <w:left w:val="none" w:sz="0" w:space="0" w:color="auto"/>
            <w:bottom w:val="none" w:sz="0" w:space="0" w:color="auto"/>
            <w:right w:val="none" w:sz="0" w:space="0" w:color="auto"/>
          </w:divBdr>
        </w:div>
        <w:div w:id="477068134">
          <w:marLeft w:val="0"/>
          <w:marRight w:val="0"/>
          <w:marTop w:val="0"/>
          <w:marBottom w:val="0"/>
          <w:divBdr>
            <w:top w:val="none" w:sz="0" w:space="0" w:color="auto"/>
            <w:left w:val="none" w:sz="0" w:space="0" w:color="auto"/>
            <w:bottom w:val="none" w:sz="0" w:space="0" w:color="auto"/>
            <w:right w:val="none" w:sz="0" w:space="0" w:color="auto"/>
          </w:divBdr>
        </w:div>
        <w:div w:id="791943626">
          <w:marLeft w:val="0"/>
          <w:marRight w:val="0"/>
          <w:marTop w:val="0"/>
          <w:marBottom w:val="0"/>
          <w:divBdr>
            <w:top w:val="none" w:sz="0" w:space="0" w:color="auto"/>
            <w:left w:val="none" w:sz="0" w:space="0" w:color="auto"/>
            <w:bottom w:val="none" w:sz="0" w:space="0" w:color="auto"/>
            <w:right w:val="none" w:sz="0" w:space="0" w:color="auto"/>
          </w:divBdr>
        </w:div>
        <w:div w:id="1922333094">
          <w:marLeft w:val="0"/>
          <w:marRight w:val="0"/>
          <w:marTop w:val="0"/>
          <w:marBottom w:val="0"/>
          <w:divBdr>
            <w:top w:val="none" w:sz="0" w:space="0" w:color="auto"/>
            <w:left w:val="none" w:sz="0" w:space="0" w:color="auto"/>
            <w:bottom w:val="none" w:sz="0" w:space="0" w:color="auto"/>
            <w:right w:val="none" w:sz="0" w:space="0" w:color="auto"/>
          </w:divBdr>
        </w:div>
        <w:div w:id="222524673">
          <w:marLeft w:val="0"/>
          <w:marRight w:val="0"/>
          <w:marTop w:val="0"/>
          <w:marBottom w:val="0"/>
          <w:divBdr>
            <w:top w:val="none" w:sz="0" w:space="0" w:color="auto"/>
            <w:left w:val="none" w:sz="0" w:space="0" w:color="auto"/>
            <w:bottom w:val="none" w:sz="0" w:space="0" w:color="auto"/>
            <w:right w:val="none" w:sz="0" w:space="0" w:color="auto"/>
          </w:divBdr>
        </w:div>
        <w:div w:id="1423406031">
          <w:marLeft w:val="0"/>
          <w:marRight w:val="0"/>
          <w:marTop w:val="0"/>
          <w:marBottom w:val="0"/>
          <w:divBdr>
            <w:top w:val="none" w:sz="0" w:space="0" w:color="auto"/>
            <w:left w:val="none" w:sz="0" w:space="0" w:color="auto"/>
            <w:bottom w:val="none" w:sz="0" w:space="0" w:color="auto"/>
            <w:right w:val="none" w:sz="0" w:space="0" w:color="auto"/>
          </w:divBdr>
        </w:div>
        <w:div w:id="1847286614">
          <w:marLeft w:val="0"/>
          <w:marRight w:val="0"/>
          <w:marTop w:val="0"/>
          <w:marBottom w:val="0"/>
          <w:divBdr>
            <w:top w:val="none" w:sz="0" w:space="0" w:color="auto"/>
            <w:left w:val="none" w:sz="0" w:space="0" w:color="auto"/>
            <w:bottom w:val="none" w:sz="0" w:space="0" w:color="auto"/>
            <w:right w:val="none" w:sz="0" w:space="0" w:color="auto"/>
          </w:divBdr>
        </w:div>
        <w:div w:id="98064657">
          <w:marLeft w:val="0"/>
          <w:marRight w:val="0"/>
          <w:marTop w:val="0"/>
          <w:marBottom w:val="0"/>
          <w:divBdr>
            <w:top w:val="none" w:sz="0" w:space="0" w:color="auto"/>
            <w:left w:val="none" w:sz="0" w:space="0" w:color="auto"/>
            <w:bottom w:val="none" w:sz="0" w:space="0" w:color="auto"/>
            <w:right w:val="none" w:sz="0" w:space="0" w:color="auto"/>
          </w:divBdr>
        </w:div>
        <w:div w:id="2040006453">
          <w:marLeft w:val="0"/>
          <w:marRight w:val="0"/>
          <w:marTop w:val="0"/>
          <w:marBottom w:val="0"/>
          <w:divBdr>
            <w:top w:val="none" w:sz="0" w:space="0" w:color="auto"/>
            <w:left w:val="none" w:sz="0" w:space="0" w:color="auto"/>
            <w:bottom w:val="none" w:sz="0" w:space="0" w:color="auto"/>
            <w:right w:val="none" w:sz="0" w:space="0" w:color="auto"/>
          </w:divBdr>
        </w:div>
        <w:div w:id="408313263">
          <w:marLeft w:val="0"/>
          <w:marRight w:val="0"/>
          <w:marTop w:val="0"/>
          <w:marBottom w:val="0"/>
          <w:divBdr>
            <w:top w:val="none" w:sz="0" w:space="0" w:color="auto"/>
            <w:left w:val="none" w:sz="0" w:space="0" w:color="auto"/>
            <w:bottom w:val="none" w:sz="0" w:space="0" w:color="auto"/>
            <w:right w:val="none" w:sz="0" w:space="0" w:color="auto"/>
          </w:divBdr>
        </w:div>
      </w:divsChild>
    </w:div>
    <w:div w:id="1344280013">
      <w:bodyDiv w:val="1"/>
      <w:marLeft w:val="0"/>
      <w:marRight w:val="0"/>
      <w:marTop w:val="0"/>
      <w:marBottom w:val="0"/>
      <w:divBdr>
        <w:top w:val="none" w:sz="0" w:space="0" w:color="auto"/>
        <w:left w:val="none" w:sz="0" w:space="0" w:color="auto"/>
        <w:bottom w:val="none" w:sz="0" w:space="0" w:color="auto"/>
        <w:right w:val="none" w:sz="0" w:space="0" w:color="auto"/>
      </w:divBdr>
      <w:divsChild>
        <w:div w:id="124467591">
          <w:marLeft w:val="0"/>
          <w:marRight w:val="0"/>
          <w:marTop w:val="0"/>
          <w:marBottom w:val="0"/>
          <w:divBdr>
            <w:top w:val="none" w:sz="0" w:space="0" w:color="auto"/>
            <w:left w:val="none" w:sz="0" w:space="0" w:color="auto"/>
            <w:bottom w:val="none" w:sz="0" w:space="0" w:color="auto"/>
            <w:right w:val="none" w:sz="0" w:space="0" w:color="auto"/>
          </w:divBdr>
        </w:div>
        <w:div w:id="377628750">
          <w:marLeft w:val="0"/>
          <w:marRight w:val="0"/>
          <w:marTop w:val="0"/>
          <w:marBottom w:val="0"/>
          <w:divBdr>
            <w:top w:val="none" w:sz="0" w:space="0" w:color="auto"/>
            <w:left w:val="none" w:sz="0" w:space="0" w:color="auto"/>
            <w:bottom w:val="none" w:sz="0" w:space="0" w:color="auto"/>
            <w:right w:val="none" w:sz="0" w:space="0" w:color="auto"/>
          </w:divBdr>
        </w:div>
        <w:div w:id="1063404566">
          <w:marLeft w:val="0"/>
          <w:marRight w:val="0"/>
          <w:marTop w:val="0"/>
          <w:marBottom w:val="0"/>
          <w:divBdr>
            <w:top w:val="none" w:sz="0" w:space="0" w:color="auto"/>
            <w:left w:val="none" w:sz="0" w:space="0" w:color="auto"/>
            <w:bottom w:val="none" w:sz="0" w:space="0" w:color="auto"/>
            <w:right w:val="none" w:sz="0" w:space="0" w:color="auto"/>
          </w:divBdr>
        </w:div>
        <w:div w:id="647128335">
          <w:marLeft w:val="0"/>
          <w:marRight w:val="0"/>
          <w:marTop w:val="0"/>
          <w:marBottom w:val="0"/>
          <w:divBdr>
            <w:top w:val="none" w:sz="0" w:space="0" w:color="auto"/>
            <w:left w:val="none" w:sz="0" w:space="0" w:color="auto"/>
            <w:bottom w:val="none" w:sz="0" w:space="0" w:color="auto"/>
            <w:right w:val="none" w:sz="0" w:space="0" w:color="auto"/>
          </w:divBdr>
        </w:div>
        <w:div w:id="586965064">
          <w:marLeft w:val="0"/>
          <w:marRight w:val="0"/>
          <w:marTop w:val="0"/>
          <w:marBottom w:val="0"/>
          <w:divBdr>
            <w:top w:val="none" w:sz="0" w:space="0" w:color="auto"/>
            <w:left w:val="none" w:sz="0" w:space="0" w:color="auto"/>
            <w:bottom w:val="none" w:sz="0" w:space="0" w:color="auto"/>
            <w:right w:val="none" w:sz="0" w:space="0" w:color="auto"/>
          </w:divBdr>
        </w:div>
        <w:div w:id="1494830855">
          <w:marLeft w:val="0"/>
          <w:marRight w:val="0"/>
          <w:marTop w:val="0"/>
          <w:marBottom w:val="0"/>
          <w:divBdr>
            <w:top w:val="none" w:sz="0" w:space="0" w:color="auto"/>
            <w:left w:val="none" w:sz="0" w:space="0" w:color="auto"/>
            <w:bottom w:val="none" w:sz="0" w:space="0" w:color="auto"/>
            <w:right w:val="none" w:sz="0" w:space="0" w:color="auto"/>
          </w:divBdr>
        </w:div>
        <w:div w:id="1863975189">
          <w:marLeft w:val="0"/>
          <w:marRight w:val="0"/>
          <w:marTop w:val="0"/>
          <w:marBottom w:val="0"/>
          <w:divBdr>
            <w:top w:val="none" w:sz="0" w:space="0" w:color="auto"/>
            <w:left w:val="none" w:sz="0" w:space="0" w:color="auto"/>
            <w:bottom w:val="none" w:sz="0" w:space="0" w:color="auto"/>
            <w:right w:val="none" w:sz="0" w:space="0" w:color="auto"/>
          </w:divBdr>
        </w:div>
        <w:div w:id="473177599">
          <w:marLeft w:val="0"/>
          <w:marRight w:val="0"/>
          <w:marTop w:val="0"/>
          <w:marBottom w:val="0"/>
          <w:divBdr>
            <w:top w:val="none" w:sz="0" w:space="0" w:color="auto"/>
            <w:left w:val="none" w:sz="0" w:space="0" w:color="auto"/>
            <w:bottom w:val="none" w:sz="0" w:space="0" w:color="auto"/>
            <w:right w:val="none" w:sz="0" w:space="0" w:color="auto"/>
          </w:divBdr>
        </w:div>
        <w:div w:id="1519349615">
          <w:marLeft w:val="0"/>
          <w:marRight w:val="0"/>
          <w:marTop w:val="0"/>
          <w:marBottom w:val="0"/>
          <w:divBdr>
            <w:top w:val="none" w:sz="0" w:space="0" w:color="auto"/>
            <w:left w:val="none" w:sz="0" w:space="0" w:color="auto"/>
            <w:bottom w:val="none" w:sz="0" w:space="0" w:color="auto"/>
            <w:right w:val="none" w:sz="0" w:space="0" w:color="auto"/>
          </w:divBdr>
        </w:div>
        <w:div w:id="772868726">
          <w:marLeft w:val="0"/>
          <w:marRight w:val="0"/>
          <w:marTop w:val="0"/>
          <w:marBottom w:val="0"/>
          <w:divBdr>
            <w:top w:val="none" w:sz="0" w:space="0" w:color="auto"/>
            <w:left w:val="none" w:sz="0" w:space="0" w:color="auto"/>
            <w:bottom w:val="none" w:sz="0" w:space="0" w:color="auto"/>
            <w:right w:val="none" w:sz="0" w:space="0" w:color="auto"/>
          </w:divBdr>
        </w:div>
        <w:div w:id="1593204346">
          <w:marLeft w:val="0"/>
          <w:marRight w:val="0"/>
          <w:marTop w:val="0"/>
          <w:marBottom w:val="0"/>
          <w:divBdr>
            <w:top w:val="none" w:sz="0" w:space="0" w:color="auto"/>
            <w:left w:val="none" w:sz="0" w:space="0" w:color="auto"/>
            <w:bottom w:val="none" w:sz="0" w:space="0" w:color="auto"/>
            <w:right w:val="none" w:sz="0" w:space="0" w:color="auto"/>
          </w:divBdr>
        </w:div>
        <w:div w:id="145822904">
          <w:marLeft w:val="0"/>
          <w:marRight w:val="0"/>
          <w:marTop w:val="0"/>
          <w:marBottom w:val="0"/>
          <w:divBdr>
            <w:top w:val="none" w:sz="0" w:space="0" w:color="auto"/>
            <w:left w:val="none" w:sz="0" w:space="0" w:color="auto"/>
            <w:bottom w:val="none" w:sz="0" w:space="0" w:color="auto"/>
            <w:right w:val="none" w:sz="0" w:space="0" w:color="auto"/>
          </w:divBdr>
        </w:div>
        <w:div w:id="1460105132">
          <w:marLeft w:val="0"/>
          <w:marRight w:val="0"/>
          <w:marTop w:val="0"/>
          <w:marBottom w:val="0"/>
          <w:divBdr>
            <w:top w:val="none" w:sz="0" w:space="0" w:color="auto"/>
            <w:left w:val="none" w:sz="0" w:space="0" w:color="auto"/>
            <w:bottom w:val="none" w:sz="0" w:space="0" w:color="auto"/>
            <w:right w:val="none" w:sz="0" w:space="0" w:color="auto"/>
          </w:divBdr>
        </w:div>
        <w:div w:id="1271013280">
          <w:marLeft w:val="0"/>
          <w:marRight w:val="0"/>
          <w:marTop w:val="0"/>
          <w:marBottom w:val="0"/>
          <w:divBdr>
            <w:top w:val="none" w:sz="0" w:space="0" w:color="auto"/>
            <w:left w:val="none" w:sz="0" w:space="0" w:color="auto"/>
            <w:bottom w:val="none" w:sz="0" w:space="0" w:color="auto"/>
            <w:right w:val="none" w:sz="0" w:space="0" w:color="auto"/>
          </w:divBdr>
        </w:div>
        <w:div w:id="1252007087">
          <w:marLeft w:val="0"/>
          <w:marRight w:val="0"/>
          <w:marTop w:val="0"/>
          <w:marBottom w:val="0"/>
          <w:divBdr>
            <w:top w:val="none" w:sz="0" w:space="0" w:color="auto"/>
            <w:left w:val="none" w:sz="0" w:space="0" w:color="auto"/>
            <w:bottom w:val="none" w:sz="0" w:space="0" w:color="auto"/>
            <w:right w:val="none" w:sz="0" w:space="0" w:color="auto"/>
          </w:divBdr>
        </w:div>
        <w:div w:id="1854226289">
          <w:marLeft w:val="0"/>
          <w:marRight w:val="0"/>
          <w:marTop w:val="0"/>
          <w:marBottom w:val="0"/>
          <w:divBdr>
            <w:top w:val="none" w:sz="0" w:space="0" w:color="auto"/>
            <w:left w:val="none" w:sz="0" w:space="0" w:color="auto"/>
            <w:bottom w:val="none" w:sz="0" w:space="0" w:color="auto"/>
            <w:right w:val="none" w:sz="0" w:space="0" w:color="auto"/>
          </w:divBdr>
        </w:div>
        <w:div w:id="1568757792">
          <w:marLeft w:val="0"/>
          <w:marRight w:val="0"/>
          <w:marTop w:val="0"/>
          <w:marBottom w:val="0"/>
          <w:divBdr>
            <w:top w:val="none" w:sz="0" w:space="0" w:color="auto"/>
            <w:left w:val="none" w:sz="0" w:space="0" w:color="auto"/>
            <w:bottom w:val="none" w:sz="0" w:space="0" w:color="auto"/>
            <w:right w:val="none" w:sz="0" w:space="0" w:color="auto"/>
          </w:divBdr>
        </w:div>
        <w:div w:id="1979601448">
          <w:marLeft w:val="0"/>
          <w:marRight w:val="0"/>
          <w:marTop w:val="0"/>
          <w:marBottom w:val="0"/>
          <w:divBdr>
            <w:top w:val="none" w:sz="0" w:space="0" w:color="auto"/>
            <w:left w:val="none" w:sz="0" w:space="0" w:color="auto"/>
            <w:bottom w:val="none" w:sz="0" w:space="0" w:color="auto"/>
            <w:right w:val="none" w:sz="0" w:space="0" w:color="auto"/>
          </w:divBdr>
        </w:div>
        <w:div w:id="1474248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1116</Words>
  <Characters>6366</Characters>
  <Application>Microsoft Office Word</Application>
  <DocSecurity>0</DocSecurity>
  <Lines>53</Lines>
  <Paragraphs>14</Paragraphs>
  <ScaleCrop>false</ScaleCrop>
  <Company/>
  <LinksUpToDate>false</LinksUpToDate>
  <CharactersWithSpaces>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2020-04-26T12:30:00Z</dcterms:created>
  <dcterms:modified xsi:type="dcterms:W3CDTF">2020-04-26T12:31:00Z</dcterms:modified>
</cp:coreProperties>
</file>