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9C" w:rsidRPr="00E9609C" w:rsidRDefault="00E9609C" w:rsidP="00E9609C">
      <w:pPr>
        <w:jc w:val="center"/>
        <w:rPr>
          <w:sz w:val="32"/>
          <w:szCs w:val="32"/>
          <w:lang w:bidi="ar-EG"/>
        </w:rPr>
      </w:pPr>
      <w:bookmarkStart w:id="0" w:name="Anchor1"/>
      <w:bookmarkStart w:id="1" w:name="_Toc129484262"/>
      <w:bookmarkEnd w:id="0"/>
      <w:bookmarkEnd w:id="1"/>
      <w:r w:rsidRPr="00E9609C">
        <w:rPr>
          <w:sz w:val="32"/>
          <w:szCs w:val="32"/>
          <w:rtl/>
        </w:rPr>
        <w:t>الطع</w:t>
      </w:r>
      <w:bookmarkStart w:id="2" w:name="_GoBack"/>
      <w:bookmarkEnd w:id="2"/>
      <w:r w:rsidRPr="00E9609C">
        <w:rPr>
          <w:sz w:val="32"/>
          <w:szCs w:val="32"/>
          <w:rtl/>
        </w:rPr>
        <w:t xml:space="preserve">ن رقم </w:t>
      </w:r>
      <w:r w:rsidRPr="00E9609C">
        <w:rPr>
          <w:sz w:val="32"/>
          <w:szCs w:val="32"/>
          <w:lang w:bidi="ar-EG"/>
        </w:rPr>
        <w:t>2080/2013</w:t>
      </w:r>
    </w:p>
    <w:p w:rsidR="00E9609C" w:rsidRPr="00E9609C" w:rsidRDefault="00E9609C" w:rsidP="00E9609C">
      <w:pPr>
        <w:rPr>
          <w:sz w:val="32"/>
          <w:szCs w:val="32"/>
          <w:lang w:bidi="ar-EG"/>
        </w:rPr>
      </w:pPr>
      <w:bookmarkStart w:id="3" w:name="Anchor7"/>
      <w:bookmarkEnd w:id="3"/>
      <w:r w:rsidRPr="00E9609C">
        <w:rPr>
          <w:sz w:val="32"/>
          <w:szCs w:val="32"/>
          <w:rtl/>
        </w:rPr>
        <w:t>هيئة المحكمة</w:t>
      </w:r>
      <w:r w:rsidRPr="00E9609C">
        <w:rPr>
          <w:sz w:val="32"/>
          <w:szCs w:val="32"/>
          <w:lang w:bidi="ar-EG"/>
        </w:rPr>
        <w:t xml:space="preserve">: </w:t>
      </w:r>
      <w:r w:rsidRPr="00E9609C">
        <w:rPr>
          <w:sz w:val="32"/>
          <w:szCs w:val="32"/>
          <w:rtl/>
        </w:rPr>
        <w:t>برئاسة السيد المستشار يونس محمد الياسين رئيس الجلسة وعضوية السادة المستشارين عادل البحوة ومحمد أحمد رشدي وإبراهيم الضبع وهشام فراويلة</w:t>
      </w:r>
    </w:p>
    <w:bookmarkStart w:id="4" w:name="Anchor23"/>
    <w:bookmarkEnd w:id="4"/>
    <w:p w:rsidR="00E9609C" w:rsidRPr="00E9609C" w:rsidRDefault="00E9609C" w:rsidP="00E9609C">
      <w:pPr>
        <w:rPr>
          <w:sz w:val="32"/>
          <w:szCs w:val="32"/>
          <w:lang w:bidi="ar-EG"/>
        </w:rPr>
      </w:pPr>
      <w:r w:rsidRPr="00E9609C">
        <w:rPr>
          <w:sz w:val="32"/>
          <w:szCs w:val="32"/>
          <w:lang w:bidi="ar-EG"/>
        </w:rPr>
        <w:fldChar w:fldCharType="begin"/>
      </w:r>
      <w:r w:rsidRPr="00E9609C">
        <w:rPr>
          <w:sz w:val="32"/>
          <w:szCs w:val="32"/>
          <w:lang w:bidi="ar-EG"/>
        </w:rPr>
        <w:instrText xml:space="preserve"> HYPERLINK "http://www.law.gov.kw/KWT_CC-Ar/00_2014/00_%D8%A7%D9%84%D8%AF%D8%A7%D8%A6%D8%B1%D8%A9%20%D8%A7%D9%84%D8%AA%D8%AC%D8%A7%D8%B1%D9%8A%D8%A9/KWT-CC-Ar_2014-06-09_02080_Taan.html" \l "TM2014_2080_1" </w:instrText>
      </w:r>
      <w:r w:rsidRPr="00E9609C">
        <w:rPr>
          <w:sz w:val="32"/>
          <w:szCs w:val="32"/>
          <w:lang w:bidi="ar-EG"/>
        </w:rPr>
        <w:fldChar w:fldCharType="separate"/>
      </w:r>
      <w:r w:rsidRPr="00E9609C">
        <w:rPr>
          <w:rStyle w:val="Hyperlink"/>
          <w:sz w:val="32"/>
          <w:szCs w:val="32"/>
          <w:lang w:bidi="ar-EG"/>
        </w:rPr>
        <w:t xml:space="preserve">1- </w:t>
      </w:r>
      <w:r w:rsidRPr="00E9609C">
        <w:rPr>
          <w:rStyle w:val="Hyperlink"/>
          <w:sz w:val="32"/>
          <w:szCs w:val="32"/>
          <w:rtl/>
        </w:rPr>
        <w:t>ان لمحكمة الموضوع السلطة في تحصيل فهم الواقع في الدعوى وتقدير ما يقدم لها من الادلة والمستندات وموازنة بعضها بالبعض الآخر</w:t>
      </w:r>
      <w:r w:rsidRPr="00E9609C">
        <w:rPr>
          <w:sz w:val="32"/>
          <w:szCs w:val="32"/>
          <w:lang w:bidi="ar-EG"/>
        </w:rPr>
        <w:fldChar w:fldCharType="end"/>
      </w:r>
      <w:r w:rsidRPr="00E9609C">
        <w:rPr>
          <w:sz w:val="32"/>
          <w:szCs w:val="32"/>
          <w:lang w:bidi="ar-EG"/>
        </w:rPr>
        <w:t xml:space="preserve"> </w:t>
      </w:r>
    </w:p>
    <w:bookmarkStart w:id="5" w:name="Anchor39"/>
    <w:bookmarkEnd w:id="5"/>
    <w:p w:rsidR="00E9609C" w:rsidRPr="00E9609C" w:rsidRDefault="00E9609C" w:rsidP="00E9609C">
      <w:pPr>
        <w:rPr>
          <w:sz w:val="32"/>
          <w:szCs w:val="32"/>
          <w:lang w:bidi="ar-EG"/>
        </w:rPr>
      </w:pPr>
      <w:r w:rsidRPr="00E9609C">
        <w:rPr>
          <w:sz w:val="32"/>
          <w:szCs w:val="32"/>
          <w:lang w:bidi="ar-EG"/>
        </w:rPr>
        <w:fldChar w:fldCharType="begin"/>
      </w:r>
      <w:r w:rsidRPr="00E9609C">
        <w:rPr>
          <w:sz w:val="32"/>
          <w:szCs w:val="32"/>
          <w:lang w:bidi="ar-EG"/>
        </w:rPr>
        <w:instrText xml:space="preserve"> HYPERLINK "http://www.law.gov.kw/KWT_CC-Ar/00_2014/00_%D8%A7%D9%84%D8%AF%D8%A7%D8%A6%D8%B1%D8%A9%20%D8%A7%D9%84%D8%AA%D8%AC%D8%A7%D8%B1%D9%8A%D8%A9/KWT-CC-Ar_2014-06-09_02080_Taan.html" \l "TM2014_2080_2" </w:instrText>
      </w:r>
      <w:r w:rsidRPr="00E9609C">
        <w:rPr>
          <w:sz w:val="32"/>
          <w:szCs w:val="32"/>
          <w:lang w:bidi="ar-EG"/>
        </w:rPr>
        <w:fldChar w:fldCharType="separate"/>
      </w:r>
      <w:r w:rsidRPr="00E9609C">
        <w:rPr>
          <w:rStyle w:val="Hyperlink"/>
          <w:sz w:val="32"/>
          <w:szCs w:val="32"/>
          <w:lang w:bidi="ar-EG"/>
        </w:rPr>
        <w:t xml:space="preserve">2- </w:t>
      </w:r>
      <w:r w:rsidRPr="00E9609C">
        <w:rPr>
          <w:rStyle w:val="Hyperlink"/>
          <w:sz w:val="32"/>
          <w:szCs w:val="32"/>
          <w:rtl/>
        </w:rPr>
        <w:t>ان المحكمة تأخذ بتقرير الخبير باعتباره عنصراً من عناصر الاثبات في الدعوى او إطراحه او الأخذ ببعضه دون البعض الآخر</w:t>
      </w:r>
      <w:r w:rsidRPr="00E9609C">
        <w:rPr>
          <w:rStyle w:val="Hyperlink"/>
          <w:sz w:val="32"/>
          <w:szCs w:val="32"/>
          <w:lang w:bidi="ar-EG"/>
        </w:rPr>
        <w:t>.</w:t>
      </w:r>
      <w:r w:rsidRPr="00E9609C">
        <w:rPr>
          <w:sz w:val="32"/>
          <w:szCs w:val="32"/>
          <w:lang w:bidi="ar-EG"/>
        </w:rPr>
        <w:fldChar w:fldCharType="end"/>
      </w:r>
    </w:p>
    <w:bookmarkStart w:id="6" w:name="Anchor53"/>
    <w:bookmarkEnd w:id="6"/>
    <w:p w:rsidR="00E9609C" w:rsidRPr="00E9609C" w:rsidRDefault="00E9609C" w:rsidP="00E9609C">
      <w:pPr>
        <w:rPr>
          <w:sz w:val="32"/>
          <w:szCs w:val="32"/>
          <w:lang w:bidi="ar-EG"/>
        </w:rPr>
      </w:pPr>
      <w:r w:rsidRPr="00E9609C">
        <w:rPr>
          <w:sz w:val="32"/>
          <w:szCs w:val="32"/>
          <w:lang w:bidi="ar-EG"/>
        </w:rPr>
        <w:fldChar w:fldCharType="begin"/>
      </w:r>
      <w:r w:rsidRPr="00E9609C">
        <w:rPr>
          <w:sz w:val="32"/>
          <w:szCs w:val="32"/>
          <w:lang w:bidi="ar-EG"/>
        </w:rPr>
        <w:instrText xml:space="preserve"> HYPERLINK "http://www.law.gov.kw/KWT_CC-Ar/00_2014/00_%D8%A7%D9%84%D8%AF%D8%A7%D8%A6%D8%B1%D8%A9%20%D8%A7%D9%84%D8%AA%D8%AC%D8%A7%D8%B1%D9%8A%D8%A9/KWT-CC-Ar_2014-06-09_02080_Taan.html" \l "TM2014_2080_3" </w:instrText>
      </w:r>
      <w:r w:rsidRPr="00E9609C">
        <w:rPr>
          <w:sz w:val="32"/>
          <w:szCs w:val="32"/>
          <w:lang w:bidi="ar-EG"/>
        </w:rPr>
        <w:fldChar w:fldCharType="separate"/>
      </w:r>
      <w:r w:rsidRPr="00E9609C">
        <w:rPr>
          <w:rStyle w:val="Hyperlink"/>
          <w:sz w:val="32"/>
          <w:szCs w:val="32"/>
          <w:lang w:bidi="ar-EG"/>
        </w:rPr>
        <w:t xml:space="preserve">3- </w:t>
      </w:r>
      <w:r w:rsidRPr="00E9609C">
        <w:rPr>
          <w:rStyle w:val="Hyperlink"/>
          <w:sz w:val="32"/>
          <w:szCs w:val="32"/>
          <w:rtl/>
        </w:rPr>
        <w:t>إن الحكم المطعون فيه تثبت من تقرير الخبير قيام الشركة المطعون ضدها على تخصيص عدداً من الأسهم للطاعنين حسبما يبين من شهادة الدعوة لاجتماع الجمعية العمومية فيكون ما خلص اليه الحكم برفض ادعاء الطاعنين بعدم تخصيص اسهم لهم سائغاً وله سنده بالاوراق بما يؤدي الى النتيجة التي انتهى اليها</w:t>
      </w:r>
      <w:r w:rsidRPr="00E9609C">
        <w:rPr>
          <w:rStyle w:val="Hyperlink"/>
          <w:sz w:val="32"/>
          <w:szCs w:val="32"/>
          <w:lang w:bidi="ar-EG"/>
        </w:rPr>
        <w:t>.</w:t>
      </w:r>
      <w:r w:rsidRPr="00E9609C">
        <w:rPr>
          <w:sz w:val="32"/>
          <w:szCs w:val="32"/>
          <w:lang w:bidi="ar-EG"/>
        </w:rPr>
        <w:fldChar w:fldCharType="end"/>
      </w:r>
      <w:r w:rsidRPr="00E9609C">
        <w:rPr>
          <w:sz w:val="32"/>
          <w:szCs w:val="32"/>
          <w:lang w:bidi="ar-EG"/>
        </w:rPr>
        <w:br/>
      </w:r>
      <w:r w:rsidRPr="00E9609C">
        <w:rPr>
          <w:sz w:val="32"/>
          <w:szCs w:val="32"/>
          <w:lang w:bidi="ar-EG"/>
        </w:rPr>
        <w:br/>
      </w:r>
      <w:r w:rsidRPr="00E9609C">
        <w:rPr>
          <w:sz w:val="32"/>
          <w:szCs w:val="32"/>
          <w:u w:val="single"/>
          <w:rtl/>
        </w:rPr>
        <w:t>ملاحظة</w:t>
      </w:r>
      <w:r w:rsidRPr="00E9609C">
        <w:rPr>
          <w:sz w:val="32"/>
          <w:szCs w:val="32"/>
          <w:u w:val="single"/>
          <w:lang w:bidi="ar-EG"/>
        </w:rPr>
        <w:t xml:space="preserve"> :</w:t>
      </w:r>
      <w:r w:rsidRPr="00E9609C">
        <w:rPr>
          <w:sz w:val="32"/>
          <w:szCs w:val="32"/>
          <w:lang w:bidi="ar-EG"/>
        </w:rPr>
        <w:br/>
      </w:r>
      <w:r w:rsidRPr="00E9609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E9609C" w:rsidRPr="00E9609C" w:rsidRDefault="00E9609C" w:rsidP="00E9609C">
      <w:pPr>
        <w:rPr>
          <w:sz w:val="32"/>
          <w:szCs w:val="32"/>
          <w:lang w:bidi="ar-EG"/>
        </w:rPr>
      </w:pPr>
      <w:bookmarkStart w:id="7" w:name="Anchor86"/>
      <w:bookmarkEnd w:id="7"/>
      <w:r w:rsidRPr="00E9609C">
        <w:rPr>
          <w:b/>
          <w:bCs/>
          <w:sz w:val="32"/>
          <w:szCs w:val="32"/>
          <w:rtl/>
        </w:rPr>
        <w:t>المحكمـة</w:t>
      </w:r>
    </w:p>
    <w:p w:rsidR="00E9609C" w:rsidRPr="00E9609C" w:rsidRDefault="00E9609C" w:rsidP="00E9609C">
      <w:pPr>
        <w:rPr>
          <w:sz w:val="32"/>
          <w:szCs w:val="32"/>
          <w:lang w:bidi="ar-EG"/>
        </w:rPr>
      </w:pPr>
      <w:bookmarkStart w:id="8" w:name="Anchor87"/>
      <w:bookmarkEnd w:id="8"/>
      <w:r w:rsidRPr="00E9609C">
        <w:rPr>
          <w:sz w:val="32"/>
          <w:szCs w:val="32"/>
          <w:rtl/>
        </w:rPr>
        <w:t>بعد الاطلاع على الأوراق والمداولة</w:t>
      </w:r>
      <w:r w:rsidRPr="00E9609C">
        <w:rPr>
          <w:sz w:val="32"/>
          <w:szCs w:val="32"/>
          <w:lang w:bidi="ar-EG"/>
        </w:rPr>
        <w:t>.</w:t>
      </w:r>
    </w:p>
    <w:p w:rsidR="00E9609C" w:rsidRPr="00E9609C" w:rsidRDefault="00E9609C" w:rsidP="00E9609C">
      <w:pPr>
        <w:rPr>
          <w:sz w:val="32"/>
          <w:szCs w:val="32"/>
          <w:lang w:bidi="ar-EG"/>
        </w:rPr>
      </w:pPr>
      <w:bookmarkStart w:id="9" w:name="Anchor91"/>
      <w:bookmarkStart w:id="10" w:name="TM2014_2080_1"/>
      <w:bookmarkEnd w:id="9"/>
      <w:bookmarkEnd w:id="10"/>
      <w:r w:rsidRPr="00E9609C">
        <w:rPr>
          <w:b/>
          <w:bCs/>
          <w:sz w:val="32"/>
          <w:szCs w:val="32"/>
          <w:rtl/>
        </w:rPr>
        <w:t xml:space="preserve">لما كان لمحكمة الموضوع السلطة في تحصيل فهم الواقع في الدعوى وتقدير ما يقدم لها من الأدلة والمستندات وموازنة بعضها بالبعض الآخر، </w:t>
      </w:r>
    </w:p>
    <w:p w:rsidR="00E9609C" w:rsidRPr="00E9609C" w:rsidRDefault="00E9609C" w:rsidP="00E9609C">
      <w:pPr>
        <w:rPr>
          <w:sz w:val="32"/>
          <w:szCs w:val="32"/>
          <w:lang w:bidi="ar-EG"/>
        </w:rPr>
      </w:pPr>
      <w:bookmarkStart w:id="11" w:name="Anchor106"/>
      <w:bookmarkEnd w:id="11"/>
      <w:r w:rsidRPr="00E9609C">
        <w:rPr>
          <w:b/>
          <w:bCs/>
          <w:sz w:val="32"/>
          <w:szCs w:val="32"/>
          <w:rtl/>
        </w:rPr>
        <w:t>ولها في سبيل تكوين عقيدتها أن تأخذ بتقرير الخبير المقدم في الدعوى بإعتباره عنصراً من عناصر الإثبات فيها أو تطرحه أو تأخذ ببعضه وتعرض عن البعض الآخر إذ هي لا تأخذ إلا بما تطمئن إليه،</w:t>
      </w:r>
      <w:r w:rsidRPr="00E9609C">
        <w:rPr>
          <w:sz w:val="32"/>
          <w:szCs w:val="32"/>
          <w:rtl/>
        </w:rPr>
        <w:t xml:space="preserve"> </w:t>
      </w:r>
    </w:p>
    <w:p w:rsidR="00E9609C" w:rsidRPr="00E9609C" w:rsidRDefault="00E9609C" w:rsidP="00E9609C">
      <w:pPr>
        <w:rPr>
          <w:sz w:val="32"/>
          <w:szCs w:val="32"/>
          <w:lang w:bidi="ar-EG"/>
        </w:rPr>
      </w:pPr>
      <w:bookmarkStart w:id="12" w:name="Anchor125"/>
      <w:bookmarkStart w:id="13" w:name="TM2014_2080_2"/>
      <w:bookmarkStart w:id="14" w:name="TM2014_2080_3"/>
      <w:bookmarkEnd w:id="12"/>
      <w:bookmarkEnd w:id="13"/>
      <w:bookmarkEnd w:id="14"/>
      <w:r w:rsidRPr="00E9609C">
        <w:rPr>
          <w:b/>
          <w:bCs/>
          <w:sz w:val="32"/>
          <w:szCs w:val="32"/>
          <w:rtl/>
        </w:rPr>
        <w:t xml:space="preserve">وكان الحكم المطعون فيه بما له من سلطة فهم الواقع في الدعوى وتقدير الأدلة فيها قد أقام قضاءه على ما استخلصه من الأوراق ومن تقرير الخبير المودع أمام محكمة أول درجة والمؤرخ </w:t>
      </w:r>
      <w:r w:rsidRPr="00E9609C">
        <w:rPr>
          <w:b/>
          <w:bCs/>
          <w:sz w:val="32"/>
          <w:szCs w:val="32"/>
          <w:lang w:bidi="ar-EG"/>
        </w:rPr>
        <w:t xml:space="preserve">2010/3/6 </w:t>
      </w:r>
      <w:r w:rsidRPr="00E9609C">
        <w:rPr>
          <w:b/>
          <w:bCs/>
          <w:sz w:val="32"/>
          <w:szCs w:val="32"/>
          <w:rtl/>
        </w:rPr>
        <w:t xml:space="preserve">والثابت به تخصيص عدد 2923 سهماً من أسهم الشركة المطعون ضدها الثالثة للطاعنين حسبما يبين من شهادة الدعوة لاجتماع الجمعية العمومية والمبين بها عدد الأسهم المخصصة للطاعنين والتي زيلت بخاتم لجنة التأسيس للشركة المطعون ضدها الثالثة وانتهى الحكم من ذلك </w:t>
      </w:r>
      <w:r w:rsidRPr="00E9609C">
        <w:rPr>
          <w:b/>
          <w:bCs/>
          <w:sz w:val="32"/>
          <w:szCs w:val="32"/>
          <w:rtl/>
        </w:rPr>
        <w:lastRenderedPageBreak/>
        <w:t xml:space="preserve">إلى رفض ادعاء الطاعنين بعدم تخصيص الأسهم لهم وطرح الحكم ما استرسل فيه تقرير الخبير من حساب أرباح ومنح لهم، وكان ما خلص إليه الحكم سائغاً وله سنده بالأوراق بما يؤدي إلى النتيجة التي إنتهى إليها ويكفي لحمل قضائه، فإن ما يثيره الطاعنون بسببي الطعن والذي يدور حول تعييب الحكم في هذا الاستخلاص يكون غير مقبول عملاً بالمادتين </w:t>
      </w:r>
      <w:r w:rsidRPr="00E9609C">
        <w:rPr>
          <w:b/>
          <w:bCs/>
          <w:sz w:val="32"/>
          <w:szCs w:val="32"/>
          <w:lang w:bidi="ar-EG"/>
        </w:rPr>
        <w:t>152</w:t>
      </w:r>
      <w:r w:rsidRPr="00E9609C">
        <w:rPr>
          <w:b/>
          <w:bCs/>
          <w:sz w:val="32"/>
          <w:szCs w:val="32"/>
          <w:rtl/>
        </w:rPr>
        <w:t xml:space="preserve">، </w:t>
      </w:r>
      <w:r w:rsidRPr="00E9609C">
        <w:rPr>
          <w:b/>
          <w:bCs/>
          <w:sz w:val="32"/>
          <w:szCs w:val="32"/>
          <w:lang w:bidi="ar-EG"/>
        </w:rPr>
        <w:t xml:space="preserve">154/5 </w:t>
      </w:r>
      <w:r w:rsidRPr="00E9609C">
        <w:rPr>
          <w:b/>
          <w:bCs/>
          <w:sz w:val="32"/>
          <w:szCs w:val="32"/>
          <w:rtl/>
        </w:rPr>
        <w:t>من قانون المرافعات</w:t>
      </w:r>
      <w:r w:rsidRPr="00E9609C">
        <w:rPr>
          <w:b/>
          <w:bCs/>
          <w:sz w:val="32"/>
          <w:szCs w:val="32"/>
          <w:lang w:bidi="ar-EG"/>
        </w:rPr>
        <w:t>.</w:t>
      </w:r>
    </w:p>
    <w:p w:rsidR="00E9609C" w:rsidRPr="00E9609C" w:rsidRDefault="00E9609C" w:rsidP="00E9609C">
      <w:pPr>
        <w:rPr>
          <w:sz w:val="32"/>
          <w:szCs w:val="32"/>
          <w:lang w:bidi="ar-EG"/>
        </w:rPr>
      </w:pPr>
      <w:bookmarkStart w:id="15" w:name="Anchor197"/>
      <w:bookmarkEnd w:id="15"/>
      <w:r w:rsidRPr="00E9609C">
        <w:rPr>
          <w:b/>
          <w:bCs/>
          <w:sz w:val="32"/>
          <w:szCs w:val="32"/>
          <w:rtl/>
        </w:rPr>
        <w:t>لذلك</w:t>
      </w:r>
    </w:p>
    <w:p w:rsidR="00E9609C" w:rsidRPr="00E9609C" w:rsidRDefault="00E9609C" w:rsidP="00E9609C">
      <w:pPr>
        <w:rPr>
          <w:sz w:val="32"/>
          <w:szCs w:val="32"/>
          <w:lang w:bidi="ar-EG"/>
        </w:rPr>
      </w:pPr>
      <w:bookmarkStart w:id="16" w:name="Anchor198"/>
      <w:bookmarkEnd w:id="16"/>
      <w:r w:rsidRPr="00E9609C">
        <w:rPr>
          <w:sz w:val="32"/>
          <w:szCs w:val="32"/>
          <w:rtl/>
        </w:rPr>
        <w:t xml:space="preserve">قررت المحكمة </w:t>
      </w:r>
      <w:r w:rsidRPr="00E9609C">
        <w:rPr>
          <w:sz w:val="32"/>
          <w:szCs w:val="32"/>
          <w:lang w:bidi="ar-EG"/>
        </w:rPr>
        <w:t xml:space="preserve">- </w:t>
      </w:r>
      <w:r w:rsidRPr="00E9609C">
        <w:rPr>
          <w:sz w:val="32"/>
          <w:szCs w:val="32"/>
          <w:rtl/>
        </w:rPr>
        <w:t xml:space="preserve">في غرفة المشورة </w:t>
      </w:r>
      <w:r w:rsidRPr="00E9609C">
        <w:rPr>
          <w:sz w:val="32"/>
          <w:szCs w:val="32"/>
          <w:lang w:bidi="ar-EG"/>
        </w:rPr>
        <w:t xml:space="preserve">– </w:t>
      </w:r>
      <w:r w:rsidRPr="00E9609C">
        <w:rPr>
          <w:sz w:val="32"/>
          <w:szCs w:val="32"/>
          <w:rtl/>
        </w:rPr>
        <w:t>عدم قبول الطعن وألزمت الطاعنين المصروفات ومبلغ عشرين ديناراً مقابل أتعاب المحاماة مع مصادرة الكفالة</w:t>
      </w:r>
      <w:r w:rsidRPr="00E9609C">
        <w:rPr>
          <w:sz w:val="32"/>
          <w:szCs w:val="32"/>
          <w:lang w:bidi="ar-EG"/>
        </w:rPr>
        <w:t>.</w:t>
      </w:r>
    </w:p>
    <w:p w:rsidR="00E9609C" w:rsidRPr="00E9609C" w:rsidRDefault="00E9609C" w:rsidP="00E9609C">
      <w:pPr>
        <w:rPr>
          <w:sz w:val="32"/>
          <w:szCs w:val="32"/>
          <w:lang w:bidi="ar-EG"/>
        </w:rPr>
      </w:pPr>
    </w:p>
    <w:p w:rsidR="00E9609C" w:rsidRPr="00E9609C" w:rsidRDefault="00E9609C" w:rsidP="00E9609C">
      <w:pPr>
        <w:rPr>
          <w:sz w:val="32"/>
          <w:szCs w:val="32"/>
          <w:lang w:bidi="ar-EG"/>
        </w:rPr>
      </w:pPr>
      <w:bookmarkStart w:id="17" w:name="Anchor215"/>
      <w:bookmarkEnd w:id="17"/>
      <w:r w:rsidRPr="00E9609C">
        <w:rPr>
          <w:sz w:val="32"/>
          <w:szCs w:val="32"/>
          <w:lang w:bidi="ar-EG"/>
        </w:rPr>
        <w:t>* * *</w:t>
      </w:r>
    </w:p>
    <w:p w:rsidR="008C2BA0" w:rsidRPr="00E9609C" w:rsidRDefault="008C2BA0">
      <w:pPr>
        <w:rPr>
          <w:rFonts w:hint="cs"/>
          <w:sz w:val="32"/>
          <w:szCs w:val="32"/>
          <w:lang w:bidi="ar-EG"/>
        </w:rPr>
      </w:pPr>
    </w:p>
    <w:sectPr w:rsidR="008C2BA0" w:rsidRPr="00E9609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49"/>
    <w:rsid w:val="0003272B"/>
    <w:rsid w:val="001A4949"/>
    <w:rsid w:val="008C2BA0"/>
    <w:rsid w:val="00E96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0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528152">
      <w:bodyDiv w:val="1"/>
      <w:marLeft w:val="0"/>
      <w:marRight w:val="0"/>
      <w:marTop w:val="0"/>
      <w:marBottom w:val="0"/>
      <w:divBdr>
        <w:top w:val="none" w:sz="0" w:space="0" w:color="auto"/>
        <w:left w:val="none" w:sz="0" w:space="0" w:color="auto"/>
        <w:bottom w:val="none" w:sz="0" w:space="0" w:color="auto"/>
        <w:right w:val="none" w:sz="0" w:space="0" w:color="auto"/>
      </w:divBdr>
      <w:divsChild>
        <w:div w:id="925304426">
          <w:marLeft w:val="0"/>
          <w:marRight w:val="0"/>
          <w:marTop w:val="0"/>
          <w:marBottom w:val="0"/>
          <w:divBdr>
            <w:top w:val="none" w:sz="0" w:space="0" w:color="auto"/>
            <w:left w:val="none" w:sz="0" w:space="0" w:color="auto"/>
            <w:bottom w:val="none" w:sz="0" w:space="0" w:color="auto"/>
            <w:right w:val="none" w:sz="0" w:space="0" w:color="auto"/>
          </w:divBdr>
        </w:div>
        <w:div w:id="614558648">
          <w:marLeft w:val="0"/>
          <w:marRight w:val="0"/>
          <w:marTop w:val="0"/>
          <w:marBottom w:val="0"/>
          <w:divBdr>
            <w:top w:val="none" w:sz="0" w:space="0" w:color="auto"/>
            <w:left w:val="none" w:sz="0" w:space="0" w:color="auto"/>
            <w:bottom w:val="none" w:sz="0" w:space="0" w:color="auto"/>
            <w:right w:val="none" w:sz="0" w:space="0" w:color="auto"/>
          </w:divBdr>
        </w:div>
        <w:div w:id="223223016">
          <w:marLeft w:val="0"/>
          <w:marRight w:val="0"/>
          <w:marTop w:val="0"/>
          <w:marBottom w:val="0"/>
          <w:divBdr>
            <w:top w:val="none" w:sz="0" w:space="0" w:color="auto"/>
            <w:left w:val="none" w:sz="0" w:space="0" w:color="auto"/>
            <w:bottom w:val="none" w:sz="0" w:space="0" w:color="auto"/>
            <w:right w:val="none" w:sz="0" w:space="0" w:color="auto"/>
          </w:divBdr>
        </w:div>
        <w:div w:id="48849652">
          <w:marLeft w:val="0"/>
          <w:marRight w:val="0"/>
          <w:marTop w:val="0"/>
          <w:marBottom w:val="0"/>
          <w:divBdr>
            <w:top w:val="none" w:sz="0" w:space="0" w:color="auto"/>
            <w:left w:val="none" w:sz="0" w:space="0" w:color="auto"/>
            <w:bottom w:val="none" w:sz="0" w:space="0" w:color="auto"/>
            <w:right w:val="none" w:sz="0" w:space="0" w:color="auto"/>
          </w:divBdr>
        </w:div>
        <w:div w:id="1103259037">
          <w:marLeft w:val="0"/>
          <w:marRight w:val="0"/>
          <w:marTop w:val="0"/>
          <w:marBottom w:val="0"/>
          <w:divBdr>
            <w:top w:val="none" w:sz="0" w:space="0" w:color="auto"/>
            <w:left w:val="none" w:sz="0" w:space="0" w:color="auto"/>
            <w:bottom w:val="none" w:sz="0" w:space="0" w:color="auto"/>
            <w:right w:val="none" w:sz="0" w:space="0" w:color="auto"/>
          </w:divBdr>
        </w:div>
        <w:div w:id="1352991625">
          <w:marLeft w:val="0"/>
          <w:marRight w:val="0"/>
          <w:marTop w:val="0"/>
          <w:marBottom w:val="0"/>
          <w:divBdr>
            <w:top w:val="none" w:sz="0" w:space="0" w:color="auto"/>
            <w:left w:val="none" w:sz="0" w:space="0" w:color="auto"/>
            <w:bottom w:val="none" w:sz="0" w:space="0" w:color="auto"/>
            <w:right w:val="none" w:sz="0" w:space="0" w:color="auto"/>
          </w:divBdr>
        </w:div>
        <w:div w:id="478301143">
          <w:marLeft w:val="0"/>
          <w:marRight w:val="0"/>
          <w:marTop w:val="0"/>
          <w:marBottom w:val="0"/>
          <w:divBdr>
            <w:top w:val="none" w:sz="0" w:space="0" w:color="auto"/>
            <w:left w:val="none" w:sz="0" w:space="0" w:color="auto"/>
            <w:bottom w:val="none" w:sz="0" w:space="0" w:color="auto"/>
            <w:right w:val="none" w:sz="0" w:space="0" w:color="auto"/>
          </w:divBdr>
        </w:div>
        <w:div w:id="337736715">
          <w:marLeft w:val="0"/>
          <w:marRight w:val="0"/>
          <w:marTop w:val="0"/>
          <w:marBottom w:val="0"/>
          <w:divBdr>
            <w:top w:val="none" w:sz="0" w:space="0" w:color="auto"/>
            <w:left w:val="none" w:sz="0" w:space="0" w:color="auto"/>
            <w:bottom w:val="none" w:sz="0" w:space="0" w:color="auto"/>
            <w:right w:val="none" w:sz="0" w:space="0" w:color="auto"/>
          </w:divBdr>
        </w:div>
        <w:div w:id="1798447399">
          <w:marLeft w:val="0"/>
          <w:marRight w:val="0"/>
          <w:marTop w:val="0"/>
          <w:marBottom w:val="0"/>
          <w:divBdr>
            <w:top w:val="none" w:sz="0" w:space="0" w:color="auto"/>
            <w:left w:val="none" w:sz="0" w:space="0" w:color="auto"/>
            <w:bottom w:val="none" w:sz="0" w:space="0" w:color="auto"/>
            <w:right w:val="none" w:sz="0" w:space="0" w:color="auto"/>
          </w:divBdr>
        </w:div>
        <w:div w:id="1596129597">
          <w:marLeft w:val="0"/>
          <w:marRight w:val="0"/>
          <w:marTop w:val="0"/>
          <w:marBottom w:val="0"/>
          <w:divBdr>
            <w:top w:val="none" w:sz="0" w:space="0" w:color="auto"/>
            <w:left w:val="none" w:sz="0" w:space="0" w:color="auto"/>
            <w:bottom w:val="none" w:sz="0" w:space="0" w:color="auto"/>
            <w:right w:val="none" w:sz="0" w:space="0" w:color="auto"/>
          </w:divBdr>
        </w:div>
        <w:div w:id="2137750834">
          <w:marLeft w:val="0"/>
          <w:marRight w:val="0"/>
          <w:marTop w:val="0"/>
          <w:marBottom w:val="0"/>
          <w:divBdr>
            <w:top w:val="none" w:sz="0" w:space="0" w:color="auto"/>
            <w:left w:val="none" w:sz="0" w:space="0" w:color="auto"/>
            <w:bottom w:val="none" w:sz="0" w:space="0" w:color="auto"/>
            <w:right w:val="none" w:sz="0" w:space="0" w:color="auto"/>
          </w:divBdr>
        </w:div>
        <w:div w:id="508561724">
          <w:marLeft w:val="0"/>
          <w:marRight w:val="0"/>
          <w:marTop w:val="0"/>
          <w:marBottom w:val="0"/>
          <w:divBdr>
            <w:top w:val="none" w:sz="0" w:space="0" w:color="auto"/>
            <w:left w:val="none" w:sz="0" w:space="0" w:color="auto"/>
            <w:bottom w:val="none" w:sz="0" w:space="0" w:color="auto"/>
            <w:right w:val="none" w:sz="0" w:space="0" w:color="auto"/>
          </w:divBdr>
        </w:div>
        <w:div w:id="1431897511">
          <w:marLeft w:val="0"/>
          <w:marRight w:val="0"/>
          <w:marTop w:val="0"/>
          <w:marBottom w:val="0"/>
          <w:divBdr>
            <w:top w:val="none" w:sz="0" w:space="0" w:color="auto"/>
            <w:left w:val="none" w:sz="0" w:space="0" w:color="auto"/>
            <w:bottom w:val="none" w:sz="0" w:space="0" w:color="auto"/>
            <w:right w:val="none" w:sz="0" w:space="0" w:color="auto"/>
          </w:divBdr>
        </w:div>
      </w:divsChild>
    </w:div>
    <w:div w:id="1968120871">
      <w:bodyDiv w:val="1"/>
      <w:marLeft w:val="0"/>
      <w:marRight w:val="0"/>
      <w:marTop w:val="0"/>
      <w:marBottom w:val="0"/>
      <w:divBdr>
        <w:top w:val="none" w:sz="0" w:space="0" w:color="auto"/>
        <w:left w:val="none" w:sz="0" w:space="0" w:color="auto"/>
        <w:bottom w:val="none" w:sz="0" w:space="0" w:color="auto"/>
        <w:right w:val="none" w:sz="0" w:space="0" w:color="auto"/>
      </w:divBdr>
      <w:divsChild>
        <w:div w:id="1211309371">
          <w:marLeft w:val="0"/>
          <w:marRight w:val="0"/>
          <w:marTop w:val="0"/>
          <w:marBottom w:val="0"/>
          <w:divBdr>
            <w:top w:val="none" w:sz="0" w:space="0" w:color="auto"/>
            <w:left w:val="none" w:sz="0" w:space="0" w:color="auto"/>
            <w:bottom w:val="none" w:sz="0" w:space="0" w:color="auto"/>
            <w:right w:val="none" w:sz="0" w:space="0" w:color="auto"/>
          </w:divBdr>
        </w:div>
        <w:div w:id="1947690433">
          <w:marLeft w:val="0"/>
          <w:marRight w:val="0"/>
          <w:marTop w:val="0"/>
          <w:marBottom w:val="0"/>
          <w:divBdr>
            <w:top w:val="none" w:sz="0" w:space="0" w:color="auto"/>
            <w:left w:val="none" w:sz="0" w:space="0" w:color="auto"/>
            <w:bottom w:val="none" w:sz="0" w:space="0" w:color="auto"/>
            <w:right w:val="none" w:sz="0" w:space="0" w:color="auto"/>
          </w:divBdr>
        </w:div>
        <w:div w:id="1065685386">
          <w:marLeft w:val="0"/>
          <w:marRight w:val="0"/>
          <w:marTop w:val="0"/>
          <w:marBottom w:val="0"/>
          <w:divBdr>
            <w:top w:val="none" w:sz="0" w:space="0" w:color="auto"/>
            <w:left w:val="none" w:sz="0" w:space="0" w:color="auto"/>
            <w:bottom w:val="none" w:sz="0" w:space="0" w:color="auto"/>
            <w:right w:val="none" w:sz="0" w:space="0" w:color="auto"/>
          </w:divBdr>
        </w:div>
        <w:div w:id="1430158391">
          <w:marLeft w:val="0"/>
          <w:marRight w:val="0"/>
          <w:marTop w:val="0"/>
          <w:marBottom w:val="0"/>
          <w:divBdr>
            <w:top w:val="none" w:sz="0" w:space="0" w:color="auto"/>
            <w:left w:val="none" w:sz="0" w:space="0" w:color="auto"/>
            <w:bottom w:val="none" w:sz="0" w:space="0" w:color="auto"/>
            <w:right w:val="none" w:sz="0" w:space="0" w:color="auto"/>
          </w:divBdr>
        </w:div>
        <w:div w:id="2028359694">
          <w:marLeft w:val="0"/>
          <w:marRight w:val="0"/>
          <w:marTop w:val="0"/>
          <w:marBottom w:val="0"/>
          <w:divBdr>
            <w:top w:val="none" w:sz="0" w:space="0" w:color="auto"/>
            <w:left w:val="none" w:sz="0" w:space="0" w:color="auto"/>
            <w:bottom w:val="none" w:sz="0" w:space="0" w:color="auto"/>
            <w:right w:val="none" w:sz="0" w:space="0" w:color="auto"/>
          </w:divBdr>
        </w:div>
        <w:div w:id="1314335750">
          <w:marLeft w:val="0"/>
          <w:marRight w:val="0"/>
          <w:marTop w:val="0"/>
          <w:marBottom w:val="0"/>
          <w:divBdr>
            <w:top w:val="none" w:sz="0" w:space="0" w:color="auto"/>
            <w:left w:val="none" w:sz="0" w:space="0" w:color="auto"/>
            <w:bottom w:val="none" w:sz="0" w:space="0" w:color="auto"/>
            <w:right w:val="none" w:sz="0" w:space="0" w:color="auto"/>
          </w:divBdr>
        </w:div>
        <w:div w:id="1999336214">
          <w:marLeft w:val="0"/>
          <w:marRight w:val="0"/>
          <w:marTop w:val="0"/>
          <w:marBottom w:val="0"/>
          <w:divBdr>
            <w:top w:val="none" w:sz="0" w:space="0" w:color="auto"/>
            <w:left w:val="none" w:sz="0" w:space="0" w:color="auto"/>
            <w:bottom w:val="none" w:sz="0" w:space="0" w:color="auto"/>
            <w:right w:val="none" w:sz="0" w:space="0" w:color="auto"/>
          </w:divBdr>
        </w:div>
        <w:div w:id="710887238">
          <w:marLeft w:val="0"/>
          <w:marRight w:val="0"/>
          <w:marTop w:val="0"/>
          <w:marBottom w:val="0"/>
          <w:divBdr>
            <w:top w:val="none" w:sz="0" w:space="0" w:color="auto"/>
            <w:left w:val="none" w:sz="0" w:space="0" w:color="auto"/>
            <w:bottom w:val="none" w:sz="0" w:space="0" w:color="auto"/>
            <w:right w:val="none" w:sz="0" w:space="0" w:color="auto"/>
          </w:divBdr>
        </w:div>
        <w:div w:id="1663896336">
          <w:marLeft w:val="0"/>
          <w:marRight w:val="0"/>
          <w:marTop w:val="0"/>
          <w:marBottom w:val="0"/>
          <w:divBdr>
            <w:top w:val="none" w:sz="0" w:space="0" w:color="auto"/>
            <w:left w:val="none" w:sz="0" w:space="0" w:color="auto"/>
            <w:bottom w:val="none" w:sz="0" w:space="0" w:color="auto"/>
            <w:right w:val="none" w:sz="0" w:space="0" w:color="auto"/>
          </w:divBdr>
        </w:div>
        <w:div w:id="1968927342">
          <w:marLeft w:val="0"/>
          <w:marRight w:val="0"/>
          <w:marTop w:val="0"/>
          <w:marBottom w:val="0"/>
          <w:divBdr>
            <w:top w:val="none" w:sz="0" w:space="0" w:color="auto"/>
            <w:left w:val="none" w:sz="0" w:space="0" w:color="auto"/>
            <w:bottom w:val="none" w:sz="0" w:space="0" w:color="auto"/>
            <w:right w:val="none" w:sz="0" w:space="0" w:color="auto"/>
          </w:divBdr>
        </w:div>
        <w:div w:id="85420553">
          <w:marLeft w:val="0"/>
          <w:marRight w:val="0"/>
          <w:marTop w:val="0"/>
          <w:marBottom w:val="0"/>
          <w:divBdr>
            <w:top w:val="none" w:sz="0" w:space="0" w:color="auto"/>
            <w:left w:val="none" w:sz="0" w:space="0" w:color="auto"/>
            <w:bottom w:val="none" w:sz="0" w:space="0" w:color="auto"/>
            <w:right w:val="none" w:sz="0" w:space="0" w:color="auto"/>
          </w:divBdr>
        </w:div>
        <w:div w:id="256443983">
          <w:marLeft w:val="0"/>
          <w:marRight w:val="0"/>
          <w:marTop w:val="0"/>
          <w:marBottom w:val="0"/>
          <w:divBdr>
            <w:top w:val="none" w:sz="0" w:space="0" w:color="auto"/>
            <w:left w:val="none" w:sz="0" w:space="0" w:color="auto"/>
            <w:bottom w:val="none" w:sz="0" w:space="0" w:color="auto"/>
            <w:right w:val="none" w:sz="0" w:space="0" w:color="auto"/>
          </w:divBdr>
        </w:div>
        <w:div w:id="207107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2020-04-26T12:06:00Z</dcterms:created>
  <dcterms:modified xsi:type="dcterms:W3CDTF">2020-04-26T12:06:00Z</dcterms:modified>
</cp:coreProperties>
</file>