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64B" w:rsidRPr="0048564B" w:rsidRDefault="0048564B" w:rsidP="0048564B">
      <w:pPr>
        <w:jc w:val="center"/>
        <w:rPr>
          <w:sz w:val="32"/>
          <w:szCs w:val="32"/>
        </w:rPr>
      </w:pPr>
      <w:bookmarkStart w:id="0" w:name="Anchor1"/>
      <w:bookmarkEnd w:id="0"/>
      <w:r w:rsidRPr="0048564B">
        <w:rPr>
          <w:sz w:val="32"/>
          <w:szCs w:val="32"/>
          <w:rtl/>
        </w:rPr>
        <w:t>الطعن رقم</w:t>
      </w:r>
      <w:bookmarkStart w:id="1" w:name="_GoBack"/>
      <w:bookmarkEnd w:id="1"/>
      <w:r w:rsidRPr="0048564B">
        <w:rPr>
          <w:sz w:val="32"/>
          <w:szCs w:val="32"/>
          <w:rtl/>
        </w:rPr>
        <w:t xml:space="preserve"> </w:t>
      </w:r>
      <w:r w:rsidRPr="0048564B">
        <w:rPr>
          <w:sz w:val="32"/>
          <w:szCs w:val="32"/>
        </w:rPr>
        <w:t>2154/2013</w:t>
      </w:r>
    </w:p>
    <w:p w:rsidR="0048564B" w:rsidRPr="0048564B" w:rsidRDefault="0048564B" w:rsidP="0048564B">
      <w:pPr>
        <w:rPr>
          <w:sz w:val="32"/>
          <w:szCs w:val="32"/>
        </w:rPr>
      </w:pPr>
      <w:bookmarkStart w:id="2" w:name="Anchor7"/>
      <w:bookmarkEnd w:id="2"/>
      <w:r w:rsidRPr="0048564B">
        <w:rPr>
          <w:sz w:val="32"/>
          <w:szCs w:val="32"/>
          <w:rtl/>
        </w:rPr>
        <w:t>هيئة المحكمة</w:t>
      </w:r>
      <w:r w:rsidRPr="0048564B">
        <w:rPr>
          <w:sz w:val="32"/>
          <w:szCs w:val="32"/>
        </w:rPr>
        <w:t xml:space="preserve">: </w:t>
      </w:r>
      <w:r w:rsidRPr="0048564B">
        <w:rPr>
          <w:sz w:val="32"/>
          <w:szCs w:val="32"/>
          <w:rtl/>
        </w:rPr>
        <w:t xml:space="preserve">برئاسة السيد المستشار أنور على بورسلي رئيس الجلسة وعضوية السادة المستشارين زياد محمد غازي وأحمد علي راجح ومجدى محمد جاد ومحمد بدر عزت </w:t>
      </w:r>
    </w:p>
    <w:bookmarkStart w:id="3" w:name="Anchor24"/>
    <w:bookmarkEnd w:id="3"/>
    <w:p w:rsidR="0048564B" w:rsidRPr="0048564B" w:rsidRDefault="0048564B" w:rsidP="0048564B">
      <w:pPr>
        <w:rPr>
          <w:sz w:val="32"/>
          <w:szCs w:val="32"/>
        </w:rPr>
      </w:pPr>
      <w:r w:rsidRPr="0048564B">
        <w:rPr>
          <w:sz w:val="32"/>
          <w:szCs w:val="32"/>
        </w:rPr>
        <w:fldChar w:fldCharType="begin"/>
      </w:r>
      <w:r w:rsidRPr="0048564B">
        <w:rPr>
          <w:sz w:val="32"/>
          <w:szCs w:val="32"/>
        </w:rPr>
        <w:instrText xml:space="preserve"> HYPERLINK "http://www.law.gov.kw/KWT_CC-Ar/00_2014/00_%D8%A7%D9%84%D8%AF%D8%A7%D8%A6%D8%B1%D8%A9%20%D8%A7%D9%84%D8%AA%D8%AC%D8%A7%D8%B1%D9%8A%D8%A9/KWT-CC-Ar_2014-06-25_02154_Taan.html" \l "TM2014_2154_1" </w:instrText>
      </w:r>
      <w:r w:rsidRPr="0048564B">
        <w:rPr>
          <w:sz w:val="32"/>
          <w:szCs w:val="32"/>
        </w:rPr>
        <w:fldChar w:fldCharType="separate"/>
      </w:r>
      <w:r w:rsidRPr="0048564B">
        <w:rPr>
          <w:rStyle w:val="Hyperlink"/>
          <w:sz w:val="32"/>
          <w:szCs w:val="32"/>
        </w:rPr>
        <w:t xml:space="preserve">1- </w:t>
      </w:r>
      <w:r w:rsidRPr="0048564B">
        <w:rPr>
          <w:rStyle w:val="Hyperlink"/>
          <w:sz w:val="32"/>
          <w:szCs w:val="32"/>
          <w:rtl/>
        </w:rPr>
        <w:t>إن محكمة الموضوع اذا اخذت بتقرير الخبير وأحالت في بيان أسباب حكمها اليه وكانت هذه الأسباب لا تصلح رداً على دفاع جوهري تمسك به الخصم يكون حكمها معيباً بالقصور</w:t>
      </w:r>
      <w:r w:rsidRPr="0048564B">
        <w:rPr>
          <w:rStyle w:val="Hyperlink"/>
          <w:sz w:val="32"/>
          <w:szCs w:val="32"/>
        </w:rPr>
        <w:t>.</w:t>
      </w:r>
      <w:r w:rsidRPr="0048564B">
        <w:rPr>
          <w:sz w:val="32"/>
          <w:szCs w:val="32"/>
        </w:rPr>
        <w:fldChar w:fldCharType="end"/>
      </w:r>
    </w:p>
    <w:bookmarkStart w:id="4" w:name="Anchor41"/>
    <w:bookmarkEnd w:id="4"/>
    <w:p w:rsidR="0048564B" w:rsidRPr="0048564B" w:rsidRDefault="0048564B" w:rsidP="0048564B">
      <w:pPr>
        <w:rPr>
          <w:sz w:val="32"/>
          <w:szCs w:val="32"/>
        </w:rPr>
      </w:pPr>
      <w:r w:rsidRPr="0048564B">
        <w:rPr>
          <w:sz w:val="32"/>
          <w:szCs w:val="32"/>
        </w:rPr>
        <w:fldChar w:fldCharType="begin"/>
      </w:r>
      <w:r w:rsidRPr="0048564B">
        <w:rPr>
          <w:sz w:val="32"/>
          <w:szCs w:val="32"/>
        </w:rPr>
        <w:instrText xml:space="preserve"> HYPERLINK "http://www.law.gov.kw/KWT_CC-Ar/00_2014/00_%D8%A7%D9%84%D8%AF%D8%A7%D8%A6%D8%B1%D8%A9%20%D8%A7%D9%84%D8%AA%D8%AC%D8%A7%D8%B1%D9%8A%D8%A9/KWT-CC-Ar_2014-06-25_02154_Taan.html" \l "TM2014_2154_2" </w:instrText>
      </w:r>
      <w:r w:rsidRPr="0048564B">
        <w:rPr>
          <w:sz w:val="32"/>
          <w:szCs w:val="32"/>
        </w:rPr>
        <w:fldChar w:fldCharType="separate"/>
      </w:r>
      <w:r w:rsidRPr="0048564B">
        <w:rPr>
          <w:rStyle w:val="Hyperlink"/>
          <w:sz w:val="32"/>
          <w:szCs w:val="32"/>
        </w:rPr>
        <w:t xml:space="preserve">2- </w:t>
      </w:r>
      <w:r w:rsidRPr="0048564B">
        <w:rPr>
          <w:rStyle w:val="Hyperlink"/>
          <w:sz w:val="32"/>
          <w:szCs w:val="32"/>
          <w:rtl/>
        </w:rPr>
        <w:t xml:space="preserve">إن أسباب تقرير الخبير لا تصلح رداً على دفاع الطاعنة لالتفاته عن كشف اسماء العاملين لدى الطاعنة باعتباره غير رسمي والتفاته عن الثابت بعقد التأمين من انها لا تحتمل الا ما يزيد عن </w:t>
      </w:r>
      <w:r w:rsidRPr="0048564B">
        <w:rPr>
          <w:rStyle w:val="Hyperlink"/>
          <w:sz w:val="32"/>
          <w:szCs w:val="32"/>
        </w:rPr>
        <w:t xml:space="preserve">85% </w:t>
      </w:r>
      <w:r w:rsidRPr="0048564B">
        <w:rPr>
          <w:rStyle w:val="Hyperlink"/>
          <w:sz w:val="32"/>
          <w:szCs w:val="32"/>
          <w:rtl/>
        </w:rPr>
        <w:t>من اجمالي أقساط التأمين المدفوعة عن العاملين لديها المشمولين بالتغطية التأمينية فيكون الحكم باتخاذه من نتيجة التقرير محمولة على أسبابها عماداً لقضائه قد جاء معيباً بالقصور في التسبيب بما يوجب تمييزه</w:t>
      </w:r>
      <w:r w:rsidRPr="0048564B">
        <w:rPr>
          <w:rStyle w:val="Hyperlink"/>
          <w:sz w:val="32"/>
          <w:szCs w:val="32"/>
        </w:rPr>
        <w:t>.</w:t>
      </w:r>
      <w:r w:rsidRPr="0048564B">
        <w:rPr>
          <w:sz w:val="32"/>
          <w:szCs w:val="32"/>
        </w:rPr>
        <w:fldChar w:fldCharType="end"/>
      </w:r>
      <w:r w:rsidRPr="0048564B">
        <w:rPr>
          <w:sz w:val="32"/>
          <w:szCs w:val="32"/>
        </w:rPr>
        <w:br/>
      </w:r>
      <w:r w:rsidRPr="0048564B">
        <w:rPr>
          <w:sz w:val="32"/>
          <w:szCs w:val="32"/>
        </w:rPr>
        <w:br/>
      </w:r>
      <w:r w:rsidRPr="0048564B">
        <w:rPr>
          <w:sz w:val="32"/>
          <w:szCs w:val="32"/>
          <w:u w:val="single"/>
          <w:rtl/>
        </w:rPr>
        <w:t>ملاحظة</w:t>
      </w:r>
      <w:r w:rsidRPr="0048564B">
        <w:rPr>
          <w:sz w:val="32"/>
          <w:szCs w:val="32"/>
          <w:u w:val="single"/>
        </w:rPr>
        <w:t xml:space="preserve"> :</w:t>
      </w:r>
      <w:r w:rsidRPr="0048564B">
        <w:rPr>
          <w:sz w:val="32"/>
          <w:szCs w:val="32"/>
        </w:rPr>
        <w:br/>
      </w:r>
      <w:r w:rsidRPr="0048564B">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48564B" w:rsidRPr="0048564B" w:rsidRDefault="0048564B" w:rsidP="0048564B">
      <w:pPr>
        <w:rPr>
          <w:sz w:val="32"/>
          <w:szCs w:val="32"/>
        </w:rPr>
      </w:pPr>
      <w:bookmarkStart w:id="5" w:name="Anchor80"/>
      <w:bookmarkEnd w:id="5"/>
      <w:r w:rsidRPr="0048564B">
        <w:rPr>
          <w:b/>
          <w:bCs/>
          <w:sz w:val="32"/>
          <w:szCs w:val="32"/>
          <w:rtl/>
        </w:rPr>
        <w:t>المحكمة</w:t>
      </w:r>
    </w:p>
    <w:p w:rsidR="0048564B" w:rsidRPr="0048564B" w:rsidRDefault="0048564B" w:rsidP="0048564B">
      <w:pPr>
        <w:rPr>
          <w:sz w:val="32"/>
          <w:szCs w:val="32"/>
        </w:rPr>
      </w:pPr>
      <w:bookmarkStart w:id="6" w:name="Anchor81"/>
      <w:bookmarkEnd w:id="6"/>
      <w:r w:rsidRPr="0048564B">
        <w:rPr>
          <w:sz w:val="32"/>
          <w:szCs w:val="32"/>
          <w:rtl/>
        </w:rPr>
        <w:t>بعد الاطلاع على الأوراق، وسماع المرافعة، وبعد المداولة</w:t>
      </w:r>
      <w:r w:rsidRPr="0048564B">
        <w:rPr>
          <w:sz w:val="32"/>
          <w:szCs w:val="32"/>
        </w:rPr>
        <w:t>.</w:t>
      </w:r>
    </w:p>
    <w:p w:rsidR="0048564B" w:rsidRPr="0048564B" w:rsidRDefault="0048564B" w:rsidP="0048564B">
      <w:pPr>
        <w:rPr>
          <w:sz w:val="32"/>
          <w:szCs w:val="32"/>
        </w:rPr>
      </w:pPr>
      <w:bookmarkStart w:id="7" w:name="Anchor88"/>
      <w:bookmarkEnd w:id="7"/>
      <w:r w:rsidRPr="0048564B">
        <w:rPr>
          <w:sz w:val="32"/>
          <w:szCs w:val="32"/>
          <w:rtl/>
        </w:rPr>
        <w:t>حيث إن الطعن إستوفى أوضاعه الشكلية</w:t>
      </w:r>
      <w:r w:rsidRPr="0048564B">
        <w:rPr>
          <w:sz w:val="32"/>
          <w:szCs w:val="32"/>
        </w:rPr>
        <w:t>.</w:t>
      </w:r>
    </w:p>
    <w:p w:rsidR="0048564B" w:rsidRPr="0048564B" w:rsidRDefault="0048564B" w:rsidP="0048564B">
      <w:pPr>
        <w:rPr>
          <w:sz w:val="32"/>
          <w:szCs w:val="32"/>
        </w:rPr>
      </w:pPr>
      <w:bookmarkStart w:id="8" w:name="Anchor93"/>
      <w:bookmarkEnd w:id="8"/>
      <w:r w:rsidRPr="0048564B">
        <w:rPr>
          <w:sz w:val="32"/>
          <w:szCs w:val="32"/>
          <w:rtl/>
        </w:rPr>
        <w:t xml:space="preserve">وحيث إن الوقائع </w:t>
      </w:r>
      <w:r w:rsidRPr="0048564B">
        <w:rPr>
          <w:sz w:val="32"/>
          <w:szCs w:val="32"/>
        </w:rPr>
        <w:t xml:space="preserve">– </w:t>
      </w:r>
      <w:r w:rsidRPr="0048564B">
        <w:rPr>
          <w:sz w:val="32"/>
          <w:szCs w:val="32"/>
          <w:rtl/>
        </w:rPr>
        <w:t xml:space="preserve">على ما يبين من الحكم المطعون فيه وسائر الأوراق </w:t>
      </w:r>
      <w:r w:rsidRPr="0048564B">
        <w:rPr>
          <w:sz w:val="32"/>
          <w:szCs w:val="32"/>
        </w:rPr>
        <w:t xml:space="preserve">– </w:t>
      </w:r>
      <w:r w:rsidRPr="0048564B">
        <w:rPr>
          <w:sz w:val="32"/>
          <w:szCs w:val="32"/>
          <w:rtl/>
        </w:rPr>
        <w:t xml:space="preserve">تتحصل في أن الشركة المطعون ضدها أقامت الدعوى رقم 2337/2010 تجاري كلي بطلب الحكم </w:t>
      </w:r>
      <w:r w:rsidRPr="0048564B">
        <w:rPr>
          <w:sz w:val="32"/>
          <w:szCs w:val="32"/>
        </w:rPr>
        <w:t xml:space="preserve">– </w:t>
      </w:r>
      <w:r w:rsidRPr="0048564B">
        <w:rPr>
          <w:sz w:val="32"/>
          <w:szCs w:val="32"/>
          <w:rtl/>
        </w:rPr>
        <w:t xml:space="preserve">ختاماً </w:t>
      </w:r>
      <w:r w:rsidRPr="0048564B">
        <w:rPr>
          <w:sz w:val="32"/>
          <w:szCs w:val="32"/>
        </w:rPr>
        <w:t xml:space="preserve">– </w:t>
      </w:r>
      <w:r w:rsidRPr="0048564B">
        <w:rPr>
          <w:sz w:val="32"/>
          <w:szCs w:val="32"/>
          <w:rtl/>
        </w:rPr>
        <w:t xml:space="preserve">بإلزام الشركة الطاعنة بأن تؤدي لها مبلغ </w:t>
      </w:r>
      <w:r w:rsidRPr="0048564B">
        <w:rPr>
          <w:sz w:val="32"/>
          <w:szCs w:val="32"/>
        </w:rPr>
        <w:t xml:space="preserve">19969 </w:t>
      </w:r>
      <w:r w:rsidRPr="0048564B">
        <w:rPr>
          <w:sz w:val="32"/>
          <w:szCs w:val="32"/>
          <w:rtl/>
        </w:rPr>
        <w:t>دينار و7</w:t>
      </w:r>
      <w:r w:rsidRPr="0048564B">
        <w:rPr>
          <w:sz w:val="32"/>
          <w:szCs w:val="32"/>
        </w:rPr>
        <w:t xml:space="preserve">% </w:t>
      </w:r>
      <w:r w:rsidRPr="0048564B">
        <w:rPr>
          <w:sz w:val="32"/>
          <w:szCs w:val="32"/>
          <w:rtl/>
        </w:rPr>
        <w:t xml:space="preserve">سنوياً فوائده القانونية، وقالت بياناً لدعواها أنها تعهدت </w:t>
      </w:r>
      <w:r w:rsidRPr="0048564B">
        <w:rPr>
          <w:sz w:val="32"/>
          <w:szCs w:val="32"/>
        </w:rPr>
        <w:t xml:space="preserve">– </w:t>
      </w:r>
      <w:r w:rsidRPr="0048564B">
        <w:rPr>
          <w:sz w:val="32"/>
          <w:szCs w:val="32"/>
          <w:rtl/>
        </w:rPr>
        <w:t xml:space="preserve">بموجب عقد تأمين العلاج الصحي الجماعي الذي أبرمته مع الشركة الطاعنة على أن تتحمل نفقات علاج العاملين لدى الأخيرة المؤمن عليهم بالمستشفيات والعيادات الحكومية بما لا يجوز 500 دينار لكل مؤمن عليه، على أن تتحمل </w:t>
      </w:r>
      <w:r w:rsidRPr="0048564B">
        <w:rPr>
          <w:sz w:val="32"/>
          <w:szCs w:val="32"/>
        </w:rPr>
        <w:t>"</w:t>
      </w:r>
      <w:r w:rsidRPr="0048564B">
        <w:rPr>
          <w:sz w:val="32"/>
          <w:szCs w:val="32"/>
          <w:rtl/>
        </w:rPr>
        <w:t xml:space="preserve">الطاعنة" ما يزيد على 85% من إجمالي الأقساط المدفوعة عن المشمولين بالتغطية، وتلتزم </w:t>
      </w:r>
      <w:r w:rsidRPr="0048564B">
        <w:rPr>
          <w:sz w:val="32"/>
          <w:szCs w:val="32"/>
        </w:rPr>
        <w:t>"</w:t>
      </w:r>
      <w:r w:rsidRPr="0048564B">
        <w:rPr>
          <w:sz w:val="32"/>
          <w:szCs w:val="32"/>
          <w:rtl/>
        </w:rPr>
        <w:t xml:space="preserve">الأخيرة" بأن تؤدي </w:t>
      </w:r>
      <w:r w:rsidRPr="0048564B">
        <w:rPr>
          <w:sz w:val="32"/>
          <w:szCs w:val="32"/>
          <w:rtl/>
        </w:rPr>
        <w:lastRenderedPageBreak/>
        <w:t>لها قيمة النفقات الطبية المستحقة عليها خلال 30 يوم من اصدار اشعار إليها بذلك وقد ترصد في ذمتها ذلك المبلغ ولم تسدده لذا فقد أقامت الدعوى، ندبت المحكمة خبيراً فيها وبعد أن أودع تقريره حكمت بإلزام الطاعنة بأن تؤدي للمطعون ضدها ذلك المبلغ ورفضت طلب فوائده، استأنفت الطاعنة هذا الحكم بالإستئناف رقم 400/2012 تجاري كما إستأنفته المطعون ضدها بالإستئناف رقم 444/2012 تجاري، ضمت المحكمة الإستئنافين وحكمت بإعادة أوراق الدعوى إلى الخبرة لبحث اعتراضات الطاعنة على تقرير الخبير الذي ندبته محكمة أول درجة والواردة بصحيفة استئنافها، وبعد أن أودع الخبير تقريره حكمت المحكمة بتاريخ 2013/10/30 في استئناف الطاعنة بتعديل الحكم المستأنف إلى الزامها بأن تؤدي للمطعون ضدها مبلغ 19669 دينار، وفي إستئناف المطعون ضدها بإلغاء الحكم المستأنف في قضائه برفض طلب الفوائد القانونية وإلزام الطاعنة بأن تؤدي للمطعون ضدها فوائد قانونية قدرها 7</w:t>
      </w:r>
      <w:r w:rsidRPr="0048564B">
        <w:rPr>
          <w:sz w:val="32"/>
          <w:szCs w:val="32"/>
        </w:rPr>
        <w:t xml:space="preserve">% </w:t>
      </w:r>
      <w:r w:rsidRPr="0048564B">
        <w:rPr>
          <w:sz w:val="32"/>
          <w:szCs w:val="32"/>
          <w:rtl/>
        </w:rPr>
        <w:t xml:space="preserve">سنوياً من المبلغ المقضي به من تاريخ الحكم، طعنت الطاعنة على هذا الحكم بطريق التمييز وأودعت النيابة مذكرة أبدت فيها الرأي برفض الطعن، وإذ عرض الطعن على هذه المحكمة </w:t>
      </w:r>
      <w:r w:rsidRPr="0048564B">
        <w:rPr>
          <w:sz w:val="32"/>
          <w:szCs w:val="32"/>
        </w:rPr>
        <w:t xml:space="preserve">– </w:t>
      </w:r>
      <w:r w:rsidRPr="0048564B">
        <w:rPr>
          <w:sz w:val="32"/>
          <w:szCs w:val="32"/>
          <w:rtl/>
        </w:rPr>
        <w:t xml:space="preserve">في غرفة مشورة </w:t>
      </w:r>
      <w:r w:rsidRPr="0048564B">
        <w:rPr>
          <w:sz w:val="32"/>
          <w:szCs w:val="32"/>
        </w:rPr>
        <w:t xml:space="preserve">– </w:t>
      </w:r>
      <w:r w:rsidRPr="0048564B">
        <w:rPr>
          <w:sz w:val="32"/>
          <w:szCs w:val="32"/>
          <w:rtl/>
        </w:rPr>
        <w:t>حددت جلسة لنظره وفيها التزمت النيابة رأيها</w:t>
      </w:r>
      <w:r w:rsidRPr="0048564B">
        <w:rPr>
          <w:sz w:val="32"/>
          <w:szCs w:val="32"/>
        </w:rPr>
        <w:t xml:space="preserve"> .</w:t>
      </w:r>
    </w:p>
    <w:p w:rsidR="0048564B" w:rsidRPr="0048564B" w:rsidRDefault="0048564B" w:rsidP="0048564B">
      <w:pPr>
        <w:rPr>
          <w:sz w:val="32"/>
          <w:szCs w:val="32"/>
        </w:rPr>
      </w:pPr>
      <w:bookmarkStart w:id="9" w:name="Anchor250"/>
      <w:bookmarkEnd w:id="9"/>
      <w:r w:rsidRPr="0048564B">
        <w:rPr>
          <w:sz w:val="32"/>
          <w:szCs w:val="32"/>
          <w:rtl/>
        </w:rPr>
        <w:t xml:space="preserve">وحيث إن مما تنعاه الطاعنة على الحكم المطعون فيه مخالفة الثابت بالأوراق والإخلال بحق الدفاع , وفي بيان ذلك تقول انها تمسكت بدفاع حاصله أن الخبير التفت عن كشف قدمته له بأسماء أربعة عمال لم تكن تعمل لديها عامي 2002/2003 وتطالب المطعون ضدها بنفقات علاجهم، كما التفت عما هو ثابت بعقد التأمين سند الدعوى من انها لا تتحمل إلا ما زاد على </w:t>
      </w:r>
      <w:r w:rsidRPr="0048564B">
        <w:rPr>
          <w:sz w:val="32"/>
          <w:szCs w:val="32"/>
        </w:rPr>
        <w:t xml:space="preserve">85% </w:t>
      </w:r>
      <w:r w:rsidRPr="0048564B">
        <w:rPr>
          <w:sz w:val="32"/>
          <w:szCs w:val="32"/>
          <w:rtl/>
        </w:rPr>
        <w:t xml:space="preserve">من إجمالي الأقساط المدفوعة عن العاملين لديها المشمولين بالتغطية التأمينية </w:t>
      </w:r>
      <w:r w:rsidRPr="0048564B">
        <w:rPr>
          <w:sz w:val="32"/>
          <w:szCs w:val="32"/>
        </w:rPr>
        <w:t xml:space="preserve">– </w:t>
      </w:r>
      <w:r w:rsidRPr="0048564B">
        <w:rPr>
          <w:sz w:val="32"/>
          <w:szCs w:val="32"/>
          <w:rtl/>
        </w:rPr>
        <w:t xml:space="preserve">أثناء سريان العقد </w:t>
      </w:r>
      <w:r w:rsidRPr="0048564B">
        <w:rPr>
          <w:sz w:val="32"/>
          <w:szCs w:val="32"/>
        </w:rPr>
        <w:t xml:space="preserve">– </w:t>
      </w:r>
      <w:r w:rsidRPr="0048564B">
        <w:rPr>
          <w:sz w:val="32"/>
          <w:szCs w:val="32"/>
          <w:rtl/>
        </w:rPr>
        <w:t>وهو مبلغ 315144 دينار ثابت وفائها به بإيصالات رسمية قدمتها للخبير . بما يعني أن قيمة التغطية التأمينية الملتزمة بها المطعون ضدها مبلغ 267872.400 دينار وهو يزيد عما تطالب به فتكون مديونيتها منتفية. إذ إحتسب الخبير مبلغ التأمين على المبالغ المسددة لوزارة الصحة دون نسبة الأقساط المدفوعة وذلك بالمخالفة للعقد. إلا أن الحكم المطعون فيه التفت عن هذا الدفاع وأقام قضاءه على تقرير الخبير فجاء معيباً بما يستوجب تمييزه</w:t>
      </w:r>
      <w:r w:rsidRPr="0048564B">
        <w:rPr>
          <w:sz w:val="32"/>
          <w:szCs w:val="32"/>
        </w:rPr>
        <w:t>.</w:t>
      </w:r>
    </w:p>
    <w:p w:rsidR="0048564B" w:rsidRPr="0048564B" w:rsidRDefault="0048564B" w:rsidP="0048564B">
      <w:pPr>
        <w:rPr>
          <w:sz w:val="32"/>
          <w:szCs w:val="32"/>
        </w:rPr>
      </w:pPr>
      <w:bookmarkStart w:id="10" w:name="Anchor329"/>
      <w:bookmarkStart w:id="11" w:name="TM2014_2154_1"/>
      <w:bookmarkEnd w:id="10"/>
      <w:bookmarkEnd w:id="11"/>
      <w:r w:rsidRPr="0048564B">
        <w:rPr>
          <w:b/>
          <w:bCs/>
          <w:sz w:val="32"/>
          <w:szCs w:val="32"/>
          <w:rtl/>
        </w:rPr>
        <w:t xml:space="preserve">وحيث إن هذا النعي في محله ذلك أنه لما كان المقرر </w:t>
      </w:r>
      <w:r w:rsidRPr="0048564B">
        <w:rPr>
          <w:b/>
          <w:bCs/>
          <w:sz w:val="32"/>
          <w:szCs w:val="32"/>
        </w:rPr>
        <w:t xml:space="preserve">– </w:t>
      </w:r>
      <w:r w:rsidRPr="0048564B">
        <w:rPr>
          <w:b/>
          <w:bCs/>
          <w:sz w:val="32"/>
          <w:szCs w:val="32"/>
          <w:rtl/>
        </w:rPr>
        <w:t xml:space="preserve">في قضاء هذه المحكمة </w:t>
      </w:r>
      <w:r w:rsidRPr="0048564B">
        <w:rPr>
          <w:b/>
          <w:bCs/>
          <w:sz w:val="32"/>
          <w:szCs w:val="32"/>
        </w:rPr>
        <w:t xml:space="preserve">– </w:t>
      </w:r>
      <w:r w:rsidRPr="0048564B">
        <w:rPr>
          <w:b/>
          <w:bCs/>
          <w:sz w:val="32"/>
          <w:szCs w:val="32"/>
          <w:rtl/>
        </w:rPr>
        <w:t>أنه إذا أخذت محكمة الموضوع بتقرير الخبير المقدم في الدعوى وأحالت في بيان أسباب حكمها إليه، وكانت أسبابه لاتؤدي إلى النتيجة التي إنتهى إليها بحيث لا تصلح رداً على دفاع جوهري تمسك به الخصم فإن حكمها يكون معيباً بالقصور</w:t>
      </w:r>
      <w:r w:rsidRPr="0048564B">
        <w:rPr>
          <w:sz w:val="32"/>
          <w:szCs w:val="32"/>
          <w:rtl/>
        </w:rPr>
        <w:t xml:space="preserve"> </w:t>
      </w:r>
    </w:p>
    <w:p w:rsidR="0048564B" w:rsidRPr="0048564B" w:rsidRDefault="0048564B" w:rsidP="0048564B">
      <w:pPr>
        <w:rPr>
          <w:sz w:val="32"/>
          <w:szCs w:val="32"/>
        </w:rPr>
      </w:pPr>
      <w:bookmarkStart w:id="12" w:name="Anchor360"/>
      <w:bookmarkStart w:id="13" w:name="TM2014_2154_2"/>
      <w:bookmarkEnd w:id="12"/>
      <w:bookmarkEnd w:id="13"/>
      <w:r w:rsidRPr="0048564B">
        <w:rPr>
          <w:b/>
          <w:bCs/>
          <w:sz w:val="32"/>
          <w:szCs w:val="32"/>
          <w:rtl/>
        </w:rPr>
        <w:t xml:space="preserve">وكانت الطاعنة قد تمسكت بصحيفة الإستئناف بأن الخبير الذي ندبته محكمة أول درجة التفت عن كشف قدمته له بأسماء أربعة عمال لم تكن تعمل لديها عامي 2002/2003 وتطالبها المطعون ضدها بنفقات علاجهم كما التفت عن الثابت بعقد التأمين سند الدعوى من أنها لا تتحمل الا ما يزيد عن </w:t>
      </w:r>
      <w:r w:rsidRPr="0048564B">
        <w:rPr>
          <w:b/>
          <w:bCs/>
          <w:sz w:val="32"/>
          <w:szCs w:val="32"/>
        </w:rPr>
        <w:t xml:space="preserve">85% </w:t>
      </w:r>
      <w:r w:rsidRPr="0048564B">
        <w:rPr>
          <w:b/>
          <w:bCs/>
          <w:sz w:val="32"/>
          <w:szCs w:val="32"/>
          <w:rtl/>
        </w:rPr>
        <w:t>من إجمالي أقساط التأمين المدفوعة عن العاملين لديها المشمولين بالتغطية التأمينية</w:t>
      </w:r>
      <w:r w:rsidRPr="0048564B">
        <w:rPr>
          <w:b/>
          <w:bCs/>
          <w:sz w:val="32"/>
          <w:szCs w:val="32"/>
        </w:rPr>
        <w:t xml:space="preserve">. </w:t>
      </w:r>
      <w:r w:rsidRPr="0048564B">
        <w:rPr>
          <w:b/>
          <w:bCs/>
          <w:sz w:val="32"/>
          <w:szCs w:val="32"/>
          <w:rtl/>
        </w:rPr>
        <w:t xml:space="preserve">فلما أعادت المحكمة أوراق الدعوى إلى الخبرة لبحث تلك الإعتراضات التفتت عن كشف أسماء العاملين لدى الطاعنة سالف البيان </w:t>
      </w:r>
      <w:r w:rsidRPr="0048564B">
        <w:rPr>
          <w:b/>
          <w:bCs/>
          <w:sz w:val="32"/>
          <w:szCs w:val="32"/>
        </w:rPr>
        <w:t xml:space="preserve">– </w:t>
      </w:r>
      <w:r w:rsidRPr="0048564B">
        <w:rPr>
          <w:b/>
          <w:bCs/>
          <w:sz w:val="32"/>
          <w:szCs w:val="32"/>
          <w:rtl/>
        </w:rPr>
        <w:t xml:space="preserve">دون أن تكون المطعون ضدها قد أبدت بشأنه أي دفاع </w:t>
      </w:r>
      <w:r w:rsidRPr="0048564B">
        <w:rPr>
          <w:b/>
          <w:bCs/>
          <w:sz w:val="32"/>
          <w:szCs w:val="32"/>
        </w:rPr>
        <w:t xml:space="preserve">– </w:t>
      </w:r>
      <w:r w:rsidRPr="0048564B">
        <w:rPr>
          <w:b/>
          <w:bCs/>
          <w:sz w:val="32"/>
          <w:szCs w:val="32"/>
          <w:rtl/>
        </w:rPr>
        <w:t xml:space="preserve">بإعتباره غير رسمي. وإتخذ من كشف مطالبات وزارة الصحة للمطعون ضدها بنفقات علاج العاملين لدى الطاعنة المؤمن عليهم أساساً لإحتساب مستحقاتها لدى الطاعنة في حين أن العقد سند الدعوى تضمن النص على أنها تستحق ما زاد على </w:t>
      </w:r>
      <w:r w:rsidRPr="0048564B">
        <w:rPr>
          <w:b/>
          <w:bCs/>
          <w:sz w:val="32"/>
          <w:szCs w:val="32"/>
        </w:rPr>
        <w:t xml:space="preserve">85% </w:t>
      </w:r>
      <w:r w:rsidRPr="0048564B">
        <w:rPr>
          <w:b/>
          <w:bCs/>
          <w:sz w:val="32"/>
          <w:szCs w:val="32"/>
          <w:rtl/>
        </w:rPr>
        <w:t>من إجمالي أقساط التأمين التي دفعتها لها الطاعنة وفي حدود 500 دينار لكل مؤمن عليه</w:t>
      </w:r>
      <w:r w:rsidRPr="0048564B">
        <w:rPr>
          <w:b/>
          <w:bCs/>
          <w:sz w:val="32"/>
          <w:szCs w:val="32"/>
        </w:rPr>
        <w:t xml:space="preserve">. </w:t>
      </w:r>
      <w:r w:rsidRPr="0048564B">
        <w:rPr>
          <w:b/>
          <w:bCs/>
          <w:sz w:val="32"/>
          <w:szCs w:val="32"/>
          <w:rtl/>
        </w:rPr>
        <w:t>فجاءت أسبابه لا تصلح رداً على دفاع الطاعنة سالف البيان ويكون الحكم المطعون فيه إذ اتخذ من نتيجته محمولة على أسبابها عماداً لقضائه قد جاء معيباً بالقصور في التسبيب بما يوجب تمييزه</w:t>
      </w:r>
      <w:r w:rsidRPr="0048564B">
        <w:rPr>
          <w:sz w:val="32"/>
          <w:szCs w:val="32"/>
          <w:rtl/>
        </w:rPr>
        <w:t xml:space="preserve"> لهذا السبب دون حاجة لبحث السبب الأول من سببي الطعن</w:t>
      </w:r>
      <w:r w:rsidRPr="0048564B">
        <w:rPr>
          <w:sz w:val="32"/>
          <w:szCs w:val="32"/>
        </w:rPr>
        <w:t>.</w:t>
      </w:r>
    </w:p>
    <w:p w:rsidR="0048564B" w:rsidRPr="0048564B" w:rsidRDefault="0048564B" w:rsidP="0048564B">
      <w:pPr>
        <w:rPr>
          <w:sz w:val="32"/>
          <w:szCs w:val="32"/>
        </w:rPr>
      </w:pPr>
      <w:bookmarkStart w:id="14" w:name="Anchor459"/>
      <w:bookmarkEnd w:id="14"/>
      <w:r w:rsidRPr="0048564B">
        <w:rPr>
          <w:sz w:val="32"/>
          <w:szCs w:val="32"/>
          <w:rtl/>
        </w:rPr>
        <w:t>وحيث أنه عن موضوع الإستئناف رقم 400/2012 تجاري، ولما تقدم ولما كانت أوراق الدعوى ليست كافية بعد لتكوين عقيدة المحكمة فإنها تعيدها إلى إدارة خبراء وزارة العدل لتباشر مأموريتها المبينة بمنطوق هذا الحكم</w:t>
      </w:r>
      <w:r w:rsidRPr="0048564B">
        <w:rPr>
          <w:sz w:val="32"/>
          <w:szCs w:val="32"/>
        </w:rPr>
        <w:t>.</w:t>
      </w:r>
    </w:p>
    <w:p w:rsidR="0048564B" w:rsidRPr="0048564B" w:rsidRDefault="0048564B" w:rsidP="0048564B">
      <w:pPr>
        <w:rPr>
          <w:sz w:val="32"/>
          <w:szCs w:val="32"/>
        </w:rPr>
      </w:pPr>
      <w:bookmarkStart w:id="15" w:name="Anchor478"/>
      <w:bookmarkEnd w:id="15"/>
      <w:r w:rsidRPr="0048564B">
        <w:rPr>
          <w:b/>
          <w:bCs/>
          <w:sz w:val="32"/>
          <w:szCs w:val="32"/>
          <w:rtl/>
        </w:rPr>
        <w:t>لذلك</w:t>
      </w:r>
    </w:p>
    <w:p w:rsidR="0048564B" w:rsidRPr="0048564B" w:rsidRDefault="0048564B" w:rsidP="0048564B">
      <w:pPr>
        <w:rPr>
          <w:sz w:val="32"/>
          <w:szCs w:val="32"/>
        </w:rPr>
      </w:pPr>
      <w:bookmarkStart w:id="16" w:name="Anchor479"/>
      <w:bookmarkEnd w:id="16"/>
      <w:r w:rsidRPr="0048564B">
        <w:rPr>
          <w:sz w:val="32"/>
          <w:szCs w:val="32"/>
          <w:rtl/>
        </w:rPr>
        <w:t>حكمت المحكمة أولاً</w:t>
      </w:r>
      <w:r w:rsidRPr="0048564B">
        <w:rPr>
          <w:sz w:val="32"/>
          <w:szCs w:val="32"/>
        </w:rPr>
        <w:t xml:space="preserve">: - </w:t>
      </w:r>
      <w:r w:rsidRPr="0048564B">
        <w:rPr>
          <w:sz w:val="32"/>
          <w:szCs w:val="32"/>
          <w:rtl/>
        </w:rPr>
        <w:t>بقبول الطعن شكلاً</w:t>
      </w:r>
      <w:r w:rsidRPr="0048564B">
        <w:rPr>
          <w:sz w:val="32"/>
          <w:szCs w:val="32"/>
        </w:rPr>
        <w:t>.</w:t>
      </w:r>
    </w:p>
    <w:p w:rsidR="0048564B" w:rsidRPr="0048564B" w:rsidRDefault="0048564B" w:rsidP="0048564B">
      <w:pPr>
        <w:rPr>
          <w:sz w:val="32"/>
          <w:szCs w:val="32"/>
        </w:rPr>
      </w:pPr>
      <w:bookmarkStart w:id="17" w:name="Anchor486"/>
      <w:bookmarkEnd w:id="17"/>
      <w:r w:rsidRPr="0048564B">
        <w:rPr>
          <w:sz w:val="32"/>
          <w:szCs w:val="32"/>
          <w:rtl/>
        </w:rPr>
        <w:t>ثانياً</w:t>
      </w:r>
      <w:r w:rsidRPr="0048564B">
        <w:rPr>
          <w:sz w:val="32"/>
          <w:szCs w:val="32"/>
        </w:rPr>
        <w:t xml:space="preserve">: </w:t>
      </w:r>
      <w:r w:rsidRPr="0048564B">
        <w:rPr>
          <w:sz w:val="32"/>
          <w:szCs w:val="32"/>
          <w:rtl/>
        </w:rPr>
        <w:t>بتمييز الحكم المطعون فيه وألزمت المطعون ضدها المصروفات ومبلغ عشرين ديناراً مقابل أتعاب المحاماة</w:t>
      </w:r>
      <w:r w:rsidRPr="0048564B">
        <w:rPr>
          <w:sz w:val="32"/>
          <w:szCs w:val="32"/>
        </w:rPr>
        <w:t xml:space="preserve">. </w:t>
      </w:r>
    </w:p>
    <w:p w:rsidR="0048564B" w:rsidRPr="0048564B" w:rsidRDefault="0048564B" w:rsidP="0048564B">
      <w:pPr>
        <w:rPr>
          <w:sz w:val="32"/>
          <w:szCs w:val="32"/>
        </w:rPr>
      </w:pPr>
      <w:bookmarkStart w:id="18" w:name="Anchor497"/>
      <w:bookmarkEnd w:id="18"/>
      <w:r w:rsidRPr="0048564B">
        <w:rPr>
          <w:sz w:val="32"/>
          <w:szCs w:val="32"/>
          <w:rtl/>
        </w:rPr>
        <w:t>ثالثاً</w:t>
      </w:r>
      <w:r w:rsidRPr="0048564B">
        <w:rPr>
          <w:sz w:val="32"/>
          <w:szCs w:val="32"/>
        </w:rPr>
        <w:t xml:space="preserve">: </w:t>
      </w:r>
      <w:r w:rsidRPr="0048564B">
        <w:rPr>
          <w:sz w:val="32"/>
          <w:szCs w:val="32"/>
          <w:rtl/>
        </w:rPr>
        <w:t xml:space="preserve">وقبل الفصل في موضوع الإستئناف رقم 400 لسنة 2012 تجاري </w:t>
      </w:r>
      <w:r w:rsidRPr="0048564B">
        <w:rPr>
          <w:sz w:val="32"/>
          <w:szCs w:val="32"/>
        </w:rPr>
        <w:t xml:space="preserve">– </w:t>
      </w:r>
      <w:r w:rsidRPr="0048564B">
        <w:rPr>
          <w:sz w:val="32"/>
          <w:szCs w:val="32"/>
          <w:rtl/>
        </w:rPr>
        <w:t>بإعادة أوراق الدعوى إلى إدارة الخبراء بوزارة العدل لتعهد بها إلى الخبير السابق ندبه أو غيره عند الإقتضاء لبحث دفاع طرفي الخصومة بشأن الكشف بأسماء العمال الأربعة المقدم من الطاعنة وتطالب المطعون ضدها بنفقات علاجهم، وبيان إجمالي ما سددته الطاعنة من أقساط تأمين على العاملين لديها المؤمن عليهم خلال فترة المطالبة ونسبة 85% منها في حدود 500 دينار كحد أقصى لانتفاع كل مؤمن عليه سنوياً بالتغطية التأمينية لنفقات علاجه وصولاً لبيان ماذا كان للمطعون ضدها مستحقات لدى الطاعنة وقدرها وذلك وفقاً لبنود العقد سند الدعوى، وعلى ضوء إعتراضات المستأنفة بصحيفتي الطعن بالتمييز والإستئناف، وذلك بذات الأمانة والصلاحيات المخولة له بموجب حكم محكمة أول درجة الصادر بجلسة 2010/6/10 وحددت يوم 2014/8/6 لمثول الخصوم أمام الخبير المنتدب ليباشر مأموريته وجلسة 2014/9/24 حتى يودع الخبير تقريره وأبقت الفصل في المصروفات</w:t>
      </w:r>
      <w:r w:rsidRPr="0048564B">
        <w:rPr>
          <w:sz w:val="32"/>
          <w:szCs w:val="32"/>
        </w:rPr>
        <w:t xml:space="preserve">. </w:t>
      </w:r>
    </w:p>
    <w:p w:rsidR="0048564B" w:rsidRPr="0048564B" w:rsidRDefault="0048564B" w:rsidP="0048564B">
      <w:pPr>
        <w:rPr>
          <w:sz w:val="32"/>
          <w:szCs w:val="32"/>
        </w:rPr>
      </w:pPr>
    </w:p>
    <w:p w:rsidR="0048564B" w:rsidRPr="0048564B" w:rsidRDefault="0048564B" w:rsidP="0048564B">
      <w:pPr>
        <w:rPr>
          <w:sz w:val="32"/>
          <w:szCs w:val="32"/>
        </w:rPr>
      </w:pPr>
      <w:bookmarkStart w:id="19" w:name="Anchor580"/>
      <w:bookmarkEnd w:id="19"/>
      <w:r w:rsidRPr="0048564B">
        <w:rPr>
          <w:sz w:val="32"/>
          <w:szCs w:val="32"/>
        </w:rPr>
        <w:t>* * *</w:t>
      </w:r>
    </w:p>
    <w:p w:rsidR="008C2BA0" w:rsidRPr="0048564B" w:rsidRDefault="008C2BA0">
      <w:pPr>
        <w:rPr>
          <w:sz w:val="32"/>
          <w:szCs w:val="32"/>
        </w:rPr>
      </w:pPr>
    </w:p>
    <w:sectPr w:rsidR="008C2BA0" w:rsidRPr="0048564B"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34"/>
    <w:rsid w:val="0003272B"/>
    <w:rsid w:val="0048564B"/>
    <w:rsid w:val="005D7134"/>
    <w:rsid w:val="008C2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6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6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698861">
      <w:bodyDiv w:val="1"/>
      <w:marLeft w:val="0"/>
      <w:marRight w:val="0"/>
      <w:marTop w:val="0"/>
      <w:marBottom w:val="0"/>
      <w:divBdr>
        <w:top w:val="none" w:sz="0" w:space="0" w:color="auto"/>
        <w:left w:val="none" w:sz="0" w:space="0" w:color="auto"/>
        <w:bottom w:val="none" w:sz="0" w:space="0" w:color="auto"/>
        <w:right w:val="none" w:sz="0" w:space="0" w:color="auto"/>
      </w:divBdr>
      <w:divsChild>
        <w:div w:id="2071420586">
          <w:marLeft w:val="0"/>
          <w:marRight w:val="0"/>
          <w:marTop w:val="0"/>
          <w:marBottom w:val="0"/>
          <w:divBdr>
            <w:top w:val="none" w:sz="0" w:space="0" w:color="auto"/>
            <w:left w:val="none" w:sz="0" w:space="0" w:color="auto"/>
            <w:bottom w:val="none" w:sz="0" w:space="0" w:color="auto"/>
            <w:right w:val="none" w:sz="0" w:space="0" w:color="auto"/>
          </w:divBdr>
        </w:div>
        <w:div w:id="1071270718">
          <w:marLeft w:val="0"/>
          <w:marRight w:val="0"/>
          <w:marTop w:val="0"/>
          <w:marBottom w:val="0"/>
          <w:divBdr>
            <w:top w:val="none" w:sz="0" w:space="0" w:color="auto"/>
            <w:left w:val="none" w:sz="0" w:space="0" w:color="auto"/>
            <w:bottom w:val="none" w:sz="0" w:space="0" w:color="auto"/>
            <w:right w:val="none" w:sz="0" w:space="0" w:color="auto"/>
          </w:divBdr>
        </w:div>
        <w:div w:id="499934311">
          <w:marLeft w:val="0"/>
          <w:marRight w:val="0"/>
          <w:marTop w:val="0"/>
          <w:marBottom w:val="0"/>
          <w:divBdr>
            <w:top w:val="none" w:sz="0" w:space="0" w:color="auto"/>
            <w:left w:val="none" w:sz="0" w:space="0" w:color="auto"/>
            <w:bottom w:val="none" w:sz="0" w:space="0" w:color="auto"/>
            <w:right w:val="none" w:sz="0" w:space="0" w:color="auto"/>
          </w:divBdr>
        </w:div>
        <w:div w:id="1510439525">
          <w:marLeft w:val="0"/>
          <w:marRight w:val="0"/>
          <w:marTop w:val="0"/>
          <w:marBottom w:val="0"/>
          <w:divBdr>
            <w:top w:val="none" w:sz="0" w:space="0" w:color="auto"/>
            <w:left w:val="none" w:sz="0" w:space="0" w:color="auto"/>
            <w:bottom w:val="none" w:sz="0" w:space="0" w:color="auto"/>
            <w:right w:val="none" w:sz="0" w:space="0" w:color="auto"/>
          </w:divBdr>
        </w:div>
        <w:div w:id="324475583">
          <w:marLeft w:val="0"/>
          <w:marRight w:val="0"/>
          <w:marTop w:val="0"/>
          <w:marBottom w:val="0"/>
          <w:divBdr>
            <w:top w:val="none" w:sz="0" w:space="0" w:color="auto"/>
            <w:left w:val="none" w:sz="0" w:space="0" w:color="auto"/>
            <w:bottom w:val="none" w:sz="0" w:space="0" w:color="auto"/>
            <w:right w:val="none" w:sz="0" w:space="0" w:color="auto"/>
          </w:divBdr>
        </w:div>
        <w:div w:id="451170339">
          <w:marLeft w:val="0"/>
          <w:marRight w:val="0"/>
          <w:marTop w:val="0"/>
          <w:marBottom w:val="0"/>
          <w:divBdr>
            <w:top w:val="none" w:sz="0" w:space="0" w:color="auto"/>
            <w:left w:val="none" w:sz="0" w:space="0" w:color="auto"/>
            <w:bottom w:val="none" w:sz="0" w:space="0" w:color="auto"/>
            <w:right w:val="none" w:sz="0" w:space="0" w:color="auto"/>
          </w:divBdr>
        </w:div>
        <w:div w:id="1817799025">
          <w:marLeft w:val="0"/>
          <w:marRight w:val="0"/>
          <w:marTop w:val="0"/>
          <w:marBottom w:val="0"/>
          <w:divBdr>
            <w:top w:val="none" w:sz="0" w:space="0" w:color="auto"/>
            <w:left w:val="none" w:sz="0" w:space="0" w:color="auto"/>
            <w:bottom w:val="none" w:sz="0" w:space="0" w:color="auto"/>
            <w:right w:val="none" w:sz="0" w:space="0" w:color="auto"/>
          </w:divBdr>
        </w:div>
        <w:div w:id="888607474">
          <w:marLeft w:val="0"/>
          <w:marRight w:val="0"/>
          <w:marTop w:val="0"/>
          <w:marBottom w:val="0"/>
          <w:divBdr>
            <w:top w:val="none" w:sz="0" w:space="0" w:color="auto"/>
            <w:left w:val="none" w:sz="0" w:space="0" w:color="auto"/>
            <w:bottom w:val="none" w:sz="0" w:space="0" w:color="auto"/>
            <w:right w:val="none" w:sz="0" w:space="0" w:color="auto"/>
          </w:divBdr>
        </w:div>
        <w:div w:id="1707364403">
          <w:marLeft w:val="0"/>
          <w:marRight w:val="0"/>
          <w:marTop w:val="0"/>
          <w:marBottom w:val="0"/>
          <w:divBdr>
            <w:top w:val="none" w:sz="0" w:space="0" w:color="auto"/>
            <w:left w:val="none" w:sz="0" w:space="0" w:color="auto"/>
            <w:bottom w:val="none" w:sz="0" w:space="0" w:color="auto"/>
            <w:right w:val="none" w:sz="0" w:space="0" w:color="auto"/>
          </w:divBdr>
        </w:div>
        <w:div w:id="1361320783">
          <w:marLeft w:val="0"/>
          <w:marRight w:val="0"/>
          <w:marTop w:val="0"/>
          <w:marBottom w:val="0"/>
          <w:divBdr>
            <w:top w:val="none" w:sz="0" w:space="0" w:color="auto"/>
            <w:left w:val="none" w:sz="0" w:space="0" w:color="auto"/>
            <w:bottom w:val="none" w:sz="0" w:space="0" w:color="auto"/>
            <w:right w:val="none" w:sz="0" w:space="0" w:color="auto"/>
          </w:divBdr>
        </w:div>
        <w:div w:id="691880963">
          <w:marLeft w:val="0"/>
          <w:marRight w:val="0"/>
          <w:marTop w:val="0"/>
          <w:marBottom w:val="0"/>
          <w:divBdr>
            <w:top w:val="none" w:sz="0" w:space="0" w:color="auto"/>
            <w:left w:val="none" w:sz="0" w:space="0" w:color="auto"/>
            <w:bottom w:val="none" w:sz="0" w:space="0" w:color="auto"/>
            <w:right w:val="none" w:sz="0" w:space="0" w:color="auto"/>
          </w:divBdr>
        </w:div>
        <w:div w:id="1076127356">
          <w:marLeft w:val="0"/>
          <w:marRight w:val="0"/>
          <w:marTop w:val="0"/>
          <w:marBottom w:val="0"/>
          <w:divBdr>
            <w:top w:val="none" w:sz="0" w:space="0" w:color="auto"/>
            <w:left w:val="none" w:sz="0" w:space="0" w:color="auto"/>
            <w:bottom w:val="none" w:sz="0" w:space="0" w:color="auto"/>
            <w:right w:val="none" w:sz="0" w:space="0" w:color="auto"/>
          </w:divBdr>
        </w:div>
        <w:div w:id="1264993122">
          <w:marLeft w:val="0"/>
          <w:marRight w:val="0"/>
          <w:marTop w:val="0"/>
          <w:marBottom w:val="0"/>
          <w:divBdr>
            <w:top w:val="none" w:sz="0" w:space="0" w:color="auto"/>
            <w:left w:val="none" w:sz="0" w:space="0" w:color="auto"/>
            <w:bottom w:val="none" w:sz="0" w:space="0" w:color="auto"/>
            <w:right w:val="none" w:sz="0" w:space="0" w:color="auto"/>
          </w:divBdr>
        </w:div>
        <w:div w:id="337194837">
          <w:marLeft w:val="0"/>
          <w:marRight w:val="0"/>
          <w:marTop w:val="0"/>
          <w:marBottom w:val="0"/>
          <w:divBdr>
            <w:top w:val="none" w:sz="0" w:space="0" w:color="auto"/>
            <w:left w:val="none" w:sz="0" w:space="0" w:color="auto"/>
            <w:bottom w:val="none" w:sz="0" w:space="0" w:color="auto"/>
            <w:right w:val="none" w:sz="0" w:space="0" w:color="auto"/>
          </w:divBdr>
        </w:div>
        <w:div w:id="1982344770">
          <w:marLeft w:val="0"/>
          <w:marRight w:val="0"/>
          <w:marTop w:val="0"/>
          <w:marBottom w:val="0"/>
          <w:divBdr>
            <w:top w:val="none" w:sz="0" w:space="0" w:color="auto"/>
            <w:left w:val="none" w:sz="0" w:space="0" w:color="auto"/>
            <w:bottom w:val="none" w:sz="0" w:space="0" w:color="auto"/>
            <w:right w:val="none" w:sz="0" w:space="0" w:color="auto"/>
          </w:divBdr>
        </w:div>
        <w:div w:id="659506922">
          <w:marLeft w:val="0"/>
          <w:marRight w:val="0"/>
          <w:marTop w:val="0"/>
          <w:marBottom w:val="0"/>
          <w:divBdr>
            <w:top w:val="none" w:sz="0" w:space="0" w:color="auto"/>
            <w:left w:val="none" w:sz="0" w:space="0" w:color="auto"/>
            <w:bottom w:val="none" w:sz="0" w:space="0" w:color="auto"/>
            <w:right w:val="none" w:sz="0" w:space="0" w:color="auto"/>
          </w:divBdr>
        </w:div>
        <w:div w:id="380206981">
          <w:marLeft w:val="0"/>
          <w:marRight w:val="0"/>
          <w:marTop w:val="0"/>
          <w:marBottom w:val="0"/>
          <w:divBdr>
            <w:top w:val="none" w:sz="0" w:space="0" w:color="auto"/>
            <w:left w:val="none" w:sz="0" w:space="0" w:color="auto"/>
            <w:bottom w:val="none" w:sz="0" w:space="0" w:color="auto"/>
            <w:right w:val="none" w:sz="0" w:space="0" w:color="auto"/>
          </w:divBdr>
        </w:div>
      </w:divsChild>
    </w:div>
    <w:div w:id="2096633851">
      <w:bodyDiv w:val="1"/>
      <w:marLeft w:val="0"/>
      <w:marRight w:val="0"/>
      <w:marTop w:val="0"/>
      <w:marBottom w:val="0"/>
      <w:divBdr>
        <w:top w:val="none" w:sz="0" w:space="0" w:color="auto"/>
        <w:left w:val="none" w:sz="0" w:space="0" w:color="auto"/>
        <w:bottom w:val="none" w:sz="0" w:space="0" w:color="auto"/>
        <w:right w:val="none" w:sz="0" w:space="0" w:color="auto"/>
      </w:divBdr>
      <w:divsChild>
        <w:div w:id="933436823">
          <w:marLeft w:val="0"/>
          <w:marRight w:val="0"/>
          <w:marTop w:val="0"/>
          <w:marBottom w:val="0"/>
          <w:divBdr>
            <w:top w:val="none" w:sz="0" w:space="0" w:color="auto"/>
            <w:left w:val="none" w:sz="0" w:space="0" w:color="auto"/>
            <w:bottom w:val="none" w:sz="0" w:space="0" w:color="auto"/>
            <w:right w:val="none" w:sz="0" w:space="0" w:color="auto"/>
          </w:divBdr>
        </w:div>
        <w:div w:id="1267694351">
          <w:marLeft w:val="0"/>
          <w:marRight w:val="0"/>
          <w:marTop w:val="0"/>
          <w:marBottom w:val="0"/>
          <w:divBdr>
            <w:top w:val="none" w:sz="0" w:space="0" w:color="auto"/>
            <w:left w:val="none" w:sz="0" w:space="0" w:color="auto"/>
            <w:bottom w:val="none" w:sz="0" w:space="0" w:color="auto"/>
            <w:right w:val="none" w:sz="0" w:space="0" w:color="auto"/>
          </w:divBdr>
        </w:div>
        <w:div w:id="204871807">
          <w:marLeft w:val="0"/>
          <w:marRight w:val="0"/>
          <w:marTop w:val="0"/>
          <w:marBottom w:val="0"/>
          <w:divBdr>
            <w:top w:val="none" w:sz="0" w:space="0" w:color="auto"/>
            <w:left w:val="none" w:sz="0" w:space="0" w:color="auto"/>
            <w:bottom w:val="none" w:sz="0" w:space="0" w:color="auto"/>
            <w:right w:val="none" w:sz="0" w:space="0" w:color="auto"/>
          </w:divBdr>
        </w:div>
        <w:div w:id="1018199028">
          <w:marLeft w:val="0"/>
          <w:marRight w:val="0"/>
          <w:marTop w:val="0"/>
          <w:marBottom w:val="0"/>
          <w:divBdr>
            <w:top w:val="none" w:sz="0" w:space="0" w:color="auto"/>
            <w:left w:val="none" w:sz="0" w:space="0" w:color="auto"/>
            <w:bottom w:val="none" w:sz="0" w:space="0" w:color="auto"/>
            <w:right w:val="none" w:sz="0" w:space="0" w:color="auto"/>
          </w:divBdr>
        </w:div>
        <w:div w:id="1795899624">
          <w:marLeft w:val="0"/>
          <w:marRight w:val="0"/>
          <w:marTop w:val="0"/>
          <w:marBottom w:val="0"/>
          <w:divBdr>
            <w:top w:val="none" w:sz="0" w:space="0" w:color="auto"/>
            <w:left w:val="none" w:sz="0" w:space="0" w:color="auto"/>
            <w:bottom w:val="none" w:sz="0" w:space="0" w:color="auto"/>
            <w:right w:val="none" w:sz="0" w:space="0" w:color="auto"/>
          </w:divBdr>
        </w:div>
        <w:div w:id="842939702">
          <w:marLeft w:val="0"/>
          <w:marRight w:val="0"/>
          <w:marTop w:val="0"/>
          <w:marBottom w:val="0"/>
          <w:divBdr>
            <w:top w:val="none" w:sz="0" w:space="0" w:color="auto"/>
            <w:left w:val="none" w:sz="0" w:space="0" w:color="auto"/>
            <w:bottom w:val="none" w:sz="0" w:space="0" w:color="auto"/>
            <w:right w:val="none" w:sz="0" w:space="0" w:color="auto"/>
          </w:divBdr>
        </w:div>
        <w:div w:id="1548375011">
          <w:marLeft w:val="0"/>
          <w:marRight w:val="0"/>
          <w:marTop w:val="0"/>
          <w:marBottom w:val="0"/>
          <w:divBdr>
            <w:top w:val="none" w:sz="0" w:space="0" w:color="auto"/>
            <w:left w:val="none" w:sz="0" w:space="0" w:color="auto"/>
            <w:bottom w:val="none" w:sz="0" w:space="0" w:color="auto"/>
            <w:right w:val="none" w:sz="0" w:space="0" w:color="auto"/>
          </w:divBdr>
        </w:div>
        <w:div w:id="1506171954">
          <w:marLeft w:val="0"/>
          <w:marRight w:val="0"/>
          <w:marTop w:val="0"/>
          <w:marBottom w:val="0"/>
          <w:divBdr>
            <w:top w:val="none" w:sz="0" w:space="0" w:color="auto"/>
            <w:left w:val="none" w:sz="0" w:space="0" w:color="auto"/>
            <w:bottom w:val="none" w:sz="0" w:space="0" w:color="auto"/>
            <w:right w:val="none" w:sz="0" w:space="0" w:color="auto"/>
          </w:divBdr>
        </w:div>
        <w:div w:id="130489894">
          <w:marLeft w:val="0"/>
          <w:marRight w:val="0"/>
          <w:marTop w:val="0"/>
          <w:marBottom w:val="0"/>
          <w:divBdr>
            <w:top w:val="none" w:sz="0" w:space="0" w:color="auto"/>
            <w:left w:val="none" w:sz="0" w:space="0" w:color="auto"/>
            <w:bottom w:val="none" w:sz="0" w:space="0" w:color="auto"/>
            <w:right w:val="none" w:sz="0" w:space="0" w:color="auto"/>
          </w:divBdr>
        </w:div>
        <w:div w:id="794711533">
          <w:marLeft w:val="0"/>
          <w:marRight w:val="0"/>
          <w:marTop w:val="0"/>
          <w:marBottom w:val="0"/>
          <w:divBdr>
            <w:top w:val="none" w:sz="0" w:space="0" w:color="auto"/>
            <w:left w:val="none" w:sz="0" w:space="0" w:color="auto"/>
            <w:bottom w:val="none" w:sz="0" w:space="0" w:color="auto"/>
            <w:right w:val="none" w:sz="0" w:space="0" w:color="auto"/>
          </w:divBdr>
        </w:div>
        <w:div w:id="85615281">
          <w:marLeft w:val="0"/>
          <w:marRight w:val="0"/>
          <w:marTop w:val="0"/>
          <w:marBottom w:val="0"/>
          <w:divBdr>
            <w:top w:val="none" w:sz="0" w:space="0" w:color="auto"/>
            <w:left w:val="none" w:sz="0" w:space="0" w:color="auto"/>
            <w:bottom w:val="none" w:sz="0" w:space="0" w:color="auto"/>
            <w:right w:val="none" w:sz="0" w:space="0" w:color="auto"/>
          </w:divBdr>
        </w:div>
        <w:div w:id="1013190130">
          <w:marLeft w:val="0"/>
          <w:marRight w:val="0"/>
          <w:marTop w:val="0"/>
          <w:marBottom w:val="0"/>
          <w:divBdr>
            <w:top w:val="none" w:sz="0" w:space="0" w:color="auto"/>
            <w:left w:val="none" w:sz="0" w:space="0" w:color="auto"/>
            <w:bottom w:val="none" w:sz="0" w:space="0" w:color="auto"/>
            <w:right w:val="none" w:sz="0" w:space="0" w:color="auto"/>
          </w:divBdr>
        </w:div>
        <w:div w:id="455486492">
          <w:marLeft w:val="0"/>
          <w:marRight w:val="0"/>
          <w:marTop w:val="0"/>
          <w:marBottom w:val="0"/>
          <w:divBdr>
            <w:top w:val="none" w:sz="0" w:space="0" w:color="auto"/>
            <w:left w:val="none" w:sz="0" w:space="0" w:color="auto"/>
            <w:bottom w:val="none" w:sz="0" w:space="0" w:color="auto"/>
            <w:right w:val="none" w:sz="0" w:space="0" w:color="auto"/>
          </w:divBdr>
        </w:div>
        <w:div w:id="871572101">
          <w:marLeft w:val="0"/>
          <w:marRight w:val="0"/>
          <w:marTop w:val="0"/>
          <w:marBottom w:val="0"/>
          <w:divBdr>
            <w:top w:val="none" w:sz="0" w:space="0" w:color="auto"/>
            <w:left w:val="none" w:sz="0" w:space="0" w:color="auto"/>
            <w:bottom w:val="none" w:sz="0" w:space="0" w:color="auto"/>
            <w:right w:val="none" w:sz="0" w:space="0" w:color="auto"/>
          </w:divBdr>
        </w:div>
        <w:div w:id="1271277893">
          <w:marLeft w:val="0"/>
          <w:marRight w:val="0"/>
          <w:marTop w:val="0"/>
          <w:marBottom w:val="0"/>
          <w:divBdr>
            <w:top w:val="none" w:sz="0" w:space="0" w:color="auto"/>
            <w:left w:val="none" w:sz="0" w:space="0" w:color="auto"/>
            <w:bottom w:val="none" w:sz="0" w:space="0" w:color="auto"/>
            <w:right w:val="none" w:sz="0" w:space="0" w:color="auto"/>
          </w:divBdr>
        </w:div>
        <w:div w:id="1324427774">
          <w:marLeft w:val="0"/>
          <w:marRight w:val="0"/>
          <w:marTop w:val="0"/>
          <w:marBottom w:val="0"/>
          <w:divBdr>
            <w:top w:val="none" w:sz="0" w:space="0" w:color="auto"/>
            <w:left w:val="none" w:sz="0" w:space="0" w:color="auto"/>
            <w:bottom w:val="none" w:sz="0" w:space="0" w:color="auto"/>
            <w:right w:val="none" w:sz="0" w:space="0" w:color="auto"/>
          </w:divBdr>
        </w:div>
        <w:div w:id="2027974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956</Words>
  <Characters>5450</Characters>
  <Application>Microsoft Office Word</Application>
  <DocSecurity>0</DocSecurity>
  <Lines>45</Lines>
  <Paragraphs>12</Paragraphs>
  <ScaleCrop>false</ScaleCrop>
  <Company/>
  <LinksUpToDate>false</LinksUpToDate>
  <CharactersWithSpaces>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2020-04-26T11:46:00Z</dcterms:created>
  <dcterms:modified xsi:type="dcterms:W3CDTF">2020-04-26T11:46:00Z</dcterms:modified>
</cp:coreProperties>
</file>