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D67" w:rsidRPr="00634D67" w:rsidRDefault="00634D67" w:rsidP="00634D67">
      <w:pPr>
        <w:jc w:val="center"/>
        <w:rPr>
          <w:sz w:val="32"/>
          <w:szCs w:val="32"/>
        </w:rPr>
      </w:pPr>
      <w:bookmarkStart w:id="0" w:name="Anchor1"/>
      <w:bookmarkEnd w:id="0"/>
      <w:r w:rsidRPr="00634D67">
        <w:rPr>
          <w:sz w:val="32"/>
          <w:szCs w:val="32"/>
          <w:rtl/>
        </w:rPr>
        <w:t>الطع</w:t>
      </w:r>
      <w:bookmarkStart w:id="1" w:name="_GoBack"/>
      <w:bookmarkEnd w:id="1"/>
      <w:r w:rsidRPr="00634D67">
        <w:rPr>
          <w:sz w:val="32"/>
          <w:szCs w:val="32"/>
          <w:rtl/>
        </w:rPr>
        <w:t>ن رقم 1479 و 1490/2013</w:t>
      </w:r>
    </w:p>
    <w:p w:rsidR="00634D67" w:rsidRPr="00634D67" w:rsidRDefault="00634D67" w:rsidP="00634D67">
      <w:pPr>
        <w:rPr>
          <w:sz w:val="32"/>
          <w:szCs w:val="32"/>
        </w:rPr>
      </w:pPr>
      <w:bookmarkStart w:id="2" w:name="Anchor6"/>
      <w:bookmarkEnd w:id="2"/>
      <w:r w:rsidRPr="00634D67">
        <w:rPr>
          <w:sz w:val="32"/>
          <w:szCs w:val="32"/>
          <w:rtl/>
        </w:rPr>
        <w:t>هيئة المحكمة</w:t>
      </w:r>
      <w:r w:rsidRPr="00634D67">
        <w:rPr>
          <w:sz w:val="32"/>
          <w:szCs w:val="32"/>
        </w:rPr>
        <w:t xml:space="preserve">: </w:t>
      </w:r>
      <w:r w:rsidRPr="00634D67">
        <w:rPr>
          <w:sz w:val="32"/>
          <w:szCs w:val="32"/>
          <w:rtl/>
        </w:rPr>
        <w:t>برئاسة السيد المستشار يونس محمد الياسين وكيل المحكمة وعضوية السادة المستشارين عادل البحوه و إبراهيم الضبع وهشام فراويله وثروت نصر الدين</w:t>
      </w:r>
    </w:p>
    <w:bookmarkStart w:id="3" w:name="Anchor22"/>
    <w:bookmarkEnd w:id="3"/>
    <w:p w:rsidR="00634D67" w:rsidRPr="00634D67" w:rsidRDefault="00634D67" w:rsidP="00634D67">
      <w:pPr>
        <w:rPr>
          <w:sz w:val="32"/>
          <w:szCs w:val="32"/>
        </w:rPr>
      </w:pPr>
      <w:r w:rsidRPr="00634D67">
        <w:rPr>
          <w:sz w:val="32"/>
          <w:szCs w:val="32"/>
        </w:rPr>
        <w:fldChar w:fldCharType="begin"/>
      </w:r>
      <w:r w:rsidRPr="00634D67">
        <w:rPr>
          <w:sz w:val="32"/>
          <w:szCs w:val="32"/>
        </w:rPr>
        <w:instrText xml:space="preserve"> HYPERLINK "http://www.law.gov.kw/KWT_CC-Ar/00_2014/00_%D8%A7%D9%84%D8%AF%D8%A7%D8%A6%D8%B1%D8%A9%20%D8%A7%D9%84%D8%AA%D8%AC%D8%A7%D8%B1%D9%8A%D8%A9/KWT-CC-Ar_2014-05-12_01479_Taan.html" \l "TM2014_1479_1" </w:instrText>
      </w:r>
      <w:r w:rsidRPr="00634D67">
        <w:rPr>
          <w:sz w:val="32"/>
          <w:szCs w:val="32"/>
        </w:rPr>
        <w:fldChar w:fldCharType="separate"/>
      </w:r>
      <w:r w:rsidRPr="00634D67">
        <w:rPr>
          <w:rStyle w:val="Hyperlink"/>
          <w:sz w:val="32"/>
          <w:szCs w:val="32"/>
        </w:rPr>
        <w:t xml:space="preserve">1- </w:t>
      </w:r>
      <w:r w:rsidRPr="00634D67">
        <w:rPr>
          <w:rStyle w:val="Hyperlink"/>
          <w:sz w:val="32"/>
          <w:szCs w:val="32"/>
          <w:rtl/>
        </w:rPr>
        <w:t>إن لكل من المتعاقدين في العقود الملزمة للجانبين أن يطلب فسخ العقد إذا لم يوفِ المتعاقد الآخر إلتزامه عند حلول أجله</w:t>
      </w:r>
      <w:r w:rsidRPr="00634D67">
        <w:rPr>
          <w:rStyle w:val="Hyperlink"/>
          <w:sz w:val="32"/>
          <w:szCs w:val="32"/>
        </w:rPr>
        <w:t>.</w:t>
      </w:r>
      <w:r w:rsidRPr="00634D67">
        <w:rPr>
          <w:sz w:val="32"/>
          <w:szCs w:val="32"/>
        </w:rPr>
        <w:fldChar w:fldCharType="end"/>
      </w:r>
    </w:p>
    <w:bookmarkStart w:id="4" w:name="Anchor36"/>
    <w:bookmarkEnd w:id="4"/>
    <w:p w:rsidR="00634D67" w:rsidRPr="00634D67" w:rsidRDefault="00634D67" w:rsidP="00634D67">
      <w:pPr>
        <w:rPr>
          <w:sz w:val="32"/>
          <w:szCs w:val="32"/>
        </w:rPr>
      </w:pPr>
      <w:r w:rsidRPr="00634D67">
        <w:rPr>
          <w:sz w:val="32"/>
          <w:szCs w:val="32"/>
        </w:rPr>
        <w:fldChar w:fldCharType="begin"/>
      </w:r>
      <w:r w:rsidRPr="00634D67">
        <w:rPr>
          <w:sz w:val="32"/>
          <w:szCs w:val="32"/>
        </w:rPr>
        <w:instrText xml:space="preserve"> HYPERLINK "http://www.law.gov.kw/KWT_CC-Ar/00_2014/00_%D8%A7%D9%84%D8%AF%D8%A7%D8%A6%D8%B1%D8%A9%20%D8%A7%D9%84%D8%AA%D8%AC%D8%A7%D8%B1%D9%8A%D8%A9/KWT-CC-Ar_2014-05-12_01479_Taan.html" \l "TM2014_1479_2" </w:instrText>
      </w:r>
      <w:r w:rsidRPr="00634D67">
        <w:rPr>
          <w:sz w:val="32"/>
          <w:szCs w:val="32"/>
        </w:rPr>
        <w:fldChar w:fldCharType="separate"/>
      </w:r>
      <w:r w:rsidRPr="00634D67">
        <w:rPr>
          <w:rStyle w:val="Hyperlink"/>
          <w:sz w:val="32"/>
          <w:szCs w:val="32"/>
        </w:rPr>
        <w:t xml:space="preserve">2- </w:t>
      </w:r>
      <w:r w:rsidRPr="00634D67">
        <w:rPr>
          <w:rStyle w:val="Hyperlink"/>
          <w:sz w:val="32"/>
          <w:szCs w:val="32"/>
          <w:rtl/>
        </w:rPr>
        <w:t>إن تقدير مبررات فسخ العقد الملزم للجانبين وكفاية أسبابه وتحديد الجانب المقصّر في العقد واستخلاص الضرر المستوجب التعويض هي من المسائل الواقعية التي تستقل بتقديرها محكمة الموضوع شرط إقامة استخلاصها سائغاً</w:t>
      </w:r>
      <w:r w:rsidRPr="00634D67">
        <w:rPr>
          <w:rStyle w:val="Hyperlink"/>
          <w:sz w:val="32"/>
          <w:szCs w:val="32"/>
        </w:rPr>
        <w:t>.</w:t>
      </w:r>
      <w:r w:rsidRPr="00634D67">
        <w:rPr>
          <w:sz w:val="32"/>
          <w:szCs w:val="32"/>
        </w:rPr>
        <w:fldChar w:fldCharType="end"/>
      </w:r>
    </w:p>
    <w:bookmarkStart w:id="5" w:name="Anchor61"/>
    <w:bookmarkEnd w:id="5"/>
    <w:p w:rsidR="00634D67" w:rsidRPr="00634D67" w:rsidRDefault="00634D67" w:rsidP="00634D67">
      <w:pPr>
        <w:rPr>
          <w:sz w:val="32"/>
          <w:szCs w:val="32"/>
        </w:rPr>
      </w:pPr>
      <w:r w:rsidRPr="00634D67">
        <w:rPr>
          <w:sz w:val="32"/>
          <w:szCs w:val="32"/>
        </w:rPr>
        <w:fldChar w:fldCharType="begin"/>
      </w:r>
      <w:r w:rsidRPr="00634D67">
        <w:rPr>
          <w:sz w:val="32"/>
          <w:szCs w:val="32"/>
        </w:rPr>
        <w:instrText xml:space="preserve"> HYPERLINK "http://www.law.gov.kw/KWT_CC-Ar/00_2014/00_%D8%A7%D9%84%D8%AF%D8%A7%D8%A6%D8%B1%D8%A9%20%D8%A7%D9%84%D8%AA%D8%AC%D8%A7%D8%B1%D9%8A%D8%A9/KWT-CC-Ar_2014-05-12_01479_Taan.html" \l "TM2014_1479_3" </w:instrText>
      </w:r>
      <w:r w:rsidRPr="00634D67">
        <w:rPr>
          <w:sz w:val="32"/>
          <w:szCs w:val="32"/>
        </w:rPr>
        <w:fldChar w:fldCharType="separate"/>
      </w:r>
      <w:r w:rsidRPr="00634D67">
        <w:rPr>
          <w:rStyle w:val="Hyperlink"/>
          <w:sz w:val="32"/>
          <w:szCs w:val="32"/>
        </w:rPr>
        <w:t xml:space="preserve">3- </w:t>
      </w:r>
      <w:r w:rsidRPr="00634D67">
        <w:rPr>
          <w:rStyle w:val="Hyperlink"/>
          <w:sz w:val="32"/>
          <w:szCs w:val="32"/>
          <w:rtl/>
        </w:rPr>
        <w:t>إن الجدل حول انتهاء محكمة الموضوع الى نفي الضرر الناتج عن فسخ العقد لعدم قيام الدليل اليقيني هو جدل موضوعي غير جائز أمام محكمة التمييز</w:t>
      </w:r>
      <w:r w:rsidRPr="00634D67">
        <w:rPr>
          <w:rStyle w:val="Hyperlink"/>
          <w:sz w:val="32"/>
          <w:szCs w:val="32"/>
        </w:rPr>
        <w:t>.</w:t>
      </w:r>
      <w:r w:rsidRPr="00634D67">
        <w:rPr>
          <w:sz w:val="32"/>
          <w:szCs w:val="32"/>
        </w:rPr>
        <w:fldChar w:fldCharType="end"/>
      </w:r>
      <w:r w:rsidRPr="00634D67">
        <w:rPr>
          <w:sz w:val="32"/>
          <w:szCs w:val="32"/>
        </w:rPr>
        <w:br/>
      </w:r>
      <w:r w:rsidRPr="00634D67">
        <w:rPr>
          <w:sz w:val="32"/>
          <w:szCs w:val="32"/>
        </w:rPr>
        <w:br/>
      </w:r>
      <w:r w:rsidRPr="00634D67">
        <w:rPr>
          <w:sz w:val="32"/>
          <w:szCs w:val="32"/>
          <w:u w:val="single"/>
          <w:rtl/>
        </w:rPr>
        <w:t>ملاحظة</w:t>
      </w:r>
      <w:r w:rsidRPr="00634D67">
        <w:rPr>
          <w:sz w:val="32"/>
          <w:szCs w:val="32"/>
          <w:u w:val="single"/>
        </w:rPr>
        <w:t xml:space="preserve"> :</w:t>
      </w:r>
      <w:r w:rsidRPr="00634D67">
        <w:rPr>
          <w:sz w:val="32"/>
          <w:szCs w:val="32"/>
        </w:rPr>
        <w:br/>
      </w:r>
      <w:r w:rsidRPr="00634D67">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634D67" w:rsidRPr="00634D67" w:rsidRDefault="00634D67" w:rsidP="00634D67">
      <w:pPr>
        <w:rPr>
          <w:sz w:val="32"/>
          <w:szCs w:val="32"/>
        </w:rPr>
      </w:pPr>
      <w:bookmarkStart w:id="6" w:name="Anchor75"/>
      <w:bookmarkEnd w:id="6"/>
      <w:r w:rsidRPr="00634D67">
        <w:rPr>
          <w:b/>
          <w:bCs/>
          <w:sz w:val="32"/>
          <w:szCs w:val="32"/>
          <w:rtl/>
        </w:rPr>
        <w:t>المحكمة</w:t>
      </w:r>
    </w:p>
    <w:p w:rsidR="00634D67" w:rsidRPr="00634D67" w:rsidRDefault="00634D67" w:rsidP="00634D67">
      <w:pPr>
        <w:rPr>
          <w:sz w:val="32"/>
          <w:szCs w:val="32"/>
        </w:rPr>
      </w:pPr>
      <w:bookmarkStart w:id="7" w:name="Anchor76"/>
      <w:bookmarkEnd w:id="7"/>
      <w:r w:rsidRPr="00634D67">
        <w:rPr>
          <w:sz w:val="32"/>
          <w:szCs w:val="32"/>
          <w:rtl/>
        </w:rPr>
        <w:t>بعد الاطلاع على الأوراق وضم الطعنين</w:t>
      </w:r>
      <w:r w:rsidRPr="00634D67">
        <w:rPr>
          <w:sz w:val="32"/>
          <w:szCs w:val="32"/>
        </w:rPr>
        <w:t>.</w:t>
      </w:r>
    </w:p>
    <w:p w:rsidR="00634D67" w:rsidRPr="00634D67" w:rsidRDefault="00634D67" w:rsidP="00634D67">
      <w:pPr>
        <w:rPr>
          <w:sz w:val="32"/>
          <w:szCs w:val="32"/>
        </w:rPr>
      </w:pPr>
      <w:bookmarkStart w:id="8" w:name="Anchor81"/>
      <w:bookmarkStart w:id="9" w:name="TM2014_1479_1"/>
      <w:bookmarkEnd w:id="8"/>
      <w:bookmarkEnd w:id="9"/>
      <w:r w:rsidRPr="00634D67">
        <w:rPr>
          <w:b/>
          <w:bCs/>
          <w:sz w:val="32"/>
          <w:szCs w:val="32"/>
          <w:rtl/>
        </w:rPr>
        <w:t>لما كان في العقود الملزمة للجانبين، إذ لم يوف أحد المتعاقدين بالتزامه عند حلول أجله جاز للمتعاقد الآخر أن يطلب من القاضي فسخ العقد،</w:t>
      </w:r>
    </w:p>
    <w:p w:rsidR="00634D67" w:rsidRPr="00634D67" w:rsidRDefault="00634D67" w:rsidP="00634D67">
      <w:pPr>
        <w:rPr>
          <w:sz w:val="32"/>
          <w:szCs w:val="32"/>
        </w:rPr>
      </w:pPr>
      <w:bookmarkStart w:id="10" w:name="Anchor93"/>
      <w:bookmarkStart w:id="11" w:name="TM2014_1479_2"/>
      <w:bookmarkEnd w:id="10"/>
      <w:bookmarkEnd w:id="11"/>
      <w:r w:rsidRPr="00634D67">
        <w:rPr>
          <w:b/>
          <w:bCs/>
          <w:sz w:val="32"/>
          <w:szCs w:val="32"/>
          <w:rtl/>
        </w:rPr>
        <w:t>وأن تقدير مبررات الفسخ على هذا المقتضي وكفاية أسبابه وعدم كفايتها، وتحديد الجانب المقصر في العقد أو نفي التقصير عنه وتنفيذ المتعاقد لالتزامه، واستخلاص الضرر الموجب للتعويض لهذا الإخلال وتحققه من عدمه كل ذلك من مسائل الواقع التي تستقل محكمة الموضوع بتقديره متى كان استخلاصها سائغاً ومردود إلى أصل ثابت بالأوراق ومن شأنه أن يؤدي إلى النتيجة التي انتهى إليها</w:t>
      </w:r>
      <w:r w:rsidRPr="00634D67">
        <w:rPr>
          <w:b/>
          <w:bCs/>
          <w:sz w:val="32"/>
          <w:szCs w:val="32"/>
        </w:rPr>
        <w:t>.</w:t>
      </w:r>
    </w:p>
    <w:p w:rsidR="00634D67" w:rsidRPr="00634D67" w:rsidRDefault="00634D67" w:rsidP="00634D67">
      <w:pPr>
        <w:rPr>
          <w:sz w:val="32"/>
          <w:szCs w:val="32"/>
        </w:rPr>
      </w:pPr>
      <w:bookmarkStart w:id="12" w:name="Anchor129"/>
      <w:bookmarkStart w:id="13" w:name="TM2014_1479_3"/>
      <w:bookmarkEnd w:id="12"/>
      <w:bookmarkEnd w:id="13"/>
      <w:r w:rsidRPr="00634D67">
        <w:rPr>
          <w:b/>
          <w:bCs/>
          <w:sz w:val="32"/>
          <w:szCs w:val="32"/>
          <w:rtl/>
        </w:rPr>
        <w:t xml:space="preserve">وكان الحكم المطعون فيه قد أقام قضاءه بإلغاء الحكم الابتدائي فيما قضى به من تعويض للطاعنة في الطعن رقم 1490 لسنة 2013 ورفض دعواها في هذا الخصوص على ما خلص إليه من الأوراق وتقرير الخبرة من عجز الطاعنة عن </w:t>
      </w:r>
      <w:r w:rsidRPr="00634D67">
        <w:rPr>
          <w:b/>
          <w:bCs/>
          <w:sz w:val="32"/>
          <w:szCs w:val="32"/>
          <w:rtl/>
        </w:rPr>
        <w:lastRenderedPageBreak/>
        <w:t xml:space="preserve">إثبات دليل يقيني يؤيد إصابتها بأي من الأضرار التي تدعي استحقاق التعويض عنها كما أيد الحكم قضاء أول درجة بفسخ العقد المبرم بين طرفيه لإخلال الشركة المطعون ضدها في ذات الطعن بتسليمها العين محل التعاقد في الموعد المحدد في 2010/10/1 وعدم استحقاقها للمبلغ محل المطالبة وقدره </w:t>
      </w:r>
      <w:r w:rsidRPr="00634D67">
        <w:rPr>
          <w:b/>
          <w:bCs/>
          <w:sz w:val="32"/>
          <w:szCs w:val="32"/>
        </w:rPr>
        <w:t xml:space="preserve">6598 </w:t>
      </w:r>
      <w:r w:rsidRPr="00634D67">
        <w:rPr>
          <w:b/>
          <w:bCs/>
          <w:sz w:val="32"/>
          <w:szCs w:val="32"/>
          <w:rtl/>
        </w:rPr>
        <w:t>د.ك والذي يمثل باقي الأجرة عن مدة الإيجار المتفق عليها ورفض دعواها الفرعية في هذا الخصوص، وكان هذا الذي استخلصه الحكم سائغاً وله أصله الثابت بالأوراق ومن شأنه أن يؤدي إلى النتيجة التي انتهى إليها ومن ثم فإن ما ينعاه الطاعنان من تعييب الحكم في هذا الاستخلاص لا يعدو أن يكون جدلاً فيما تستقل محكمة الموضوع بتقديره لا تجوز إثارته أمام هذه المحكمة ومن ثم غير مقبول الأمر الذي يكون معه الطعنان وقد اقيما على غير الأسباب المبينة بالمادة 152 من قانون المرافعات، ويتعين التقرير بعدم قبولهما عملاً بالمادة 154/5 من ذات القانون</w:t>
      </w:r>
      <w:r w:rsidRPr="00634D67">
        <w:rPr>
          <w:b/>
          <w:bCs/>
          <w:sz w:val="32"/>
          <w:szCs w:val="32"/>
        </w:rPr>
        <w:t>.</w:t>
      </w:r>
    </w:p>
    <w:p w:rsidR="00634D67" w:rsidRPr="00634D67" w:rsidRDefault="00634D67" w:rsidP="00634D67">
      <w:pPr>
        <w:rPr>
          <w:sz w:val="32"/>
          <w:szCs w:val="32"/>
        </w:rPr>
      </w:pPr>
      <w:bookmarkStart w:id="14" w:name="Anchor222"/>
      <w:bookmarkEnd w:id="14"/>
      <w:r w:rsidRPr="00634D67">
        <w:rPr>
          <w:b/>
          <w:bCs/>
          <w:sz w:val="32"/>
          <w:szCs w:val="32"/>
          <w:rtl/>
        </w:rPr>
        <w:t>لذلك</w:t>
      </w:r>
    </w:p>
    <w:p w:rsidR="00634D67" w:rsidRPr="00634D67" w:rsidRDefault="00634D67" w:rsidP="00634D67">
      <w:pPr>
        <w:rPr>
          <w:sz w:val="32"/>
          <w:szCs w:val="32"/>
        </w:rPr>
      </w:pPr>
      <w:bookmarkStart w:id="15" w:name="Anchor223"/>
      <w:bookmarkEnd w:id="15"/>
      <w:r w:rsidRPr="00634D67">
        <w:rPr>
          <w:b/>
          <w:bCs/>
          <w:sz w:val="32"/>
          <w:szCs w:val="32"/>
          <w:rtl/>
        </w:rPr>
        <w:t xml:space="preserve">قررت المحكمة </w:t>
      </w:r>
      <w:r w:rsidRPr="00634D67">
        <w:rPr>
          <w:b/>
          <w:bCs/>
          <w:sz w:val="32"/>
          <w:szCs w:val="32"/>
        </w:rPr>
        <w:t xml:space="preserve">– </w:t>
      </w:r>
      <w:r w:rsidRPr="00634D67">
        <w:rPr>
          <w:b/>
          <w:bCs/>
          <w:sz w:val="32"/>
          <w:szCs w:val="32"/>
          <w:rtl/>
        </w:rPr>
        <w:t>في غرفة المشورة</w:t>
      </w:r>
      <w:r w:rsidRPr="00634D67">
        <w:rPr>
          <w:b/>
          <w:bCs/>
          <w:sz w:val="32"/>
          <w:szCs w:val="32"/>
        </w:rPr>
        <w:t>:</w:t>
      </w:r>
      <w:r w:rsidRPr="00634D67">
        <w:rPr>
          <w:sz w:val="32"/>
          <w:szCs w:val="32"/>
        </w:rPr>
        <w:t xml:space="preserve"> - </w:t>
      </w:r>
      <w:r w:rsidRPr="00634D67">
        <w:rPr>
          <w:sz w:val="32"/>
          <w:szCs w:val="32"/>
          <w:rtl/>
        </w:rPr>
        <w:t>عدم قبول الطعنين وألزمت كل طاعنة مصروفات طعنها وبإلزام الطاعنة في الطعن رقم 1490 لسنة 2013 تجاري مبلغ عشرين ديناراً مقابل أتعاب المحاماة مع مصادرة الكفالة في كل منهما</w:t>
      </w:r>
      <w:r w:rsidRPr="00634D67">
        <w:rPr>
          <w:sz w:val="32"/>
          <w:szCs w:val="32"/>
        </w:rPr>
        <w:t>.</w:t>
      </w:r>
    </w:p>
    <w:p w:rsidR="00634D67" w:rsidRPr="00634D67" w:rsidRDefault="00634D67" w:rsidP="00634D67">
      <w:pPr>
        <w:rPr>
          <w:sz w:val="32"/>
          <w:szCs w:val="32"/>
        </w:rPr>
      </w:pPr>
    </w:p>
    <w:p w:rsidR="00634D67" w:rsidRPr="00634D67" w:rsidRDefault="00634D67" w:rsidP="00634D67">
      <w:pPr>
        <w:rPr>
          <w:sz w:val="32"/>
          <w:szCs w:val="32"/>
        </w:rPr>
      </w:pPr>
      <w:bookmarkStart w:id="16" w:name="Anchor246"/>
      <w:bookmarkEnd w:id="16"/>
      <w:r w:rsidRPr="00634D67">
        <w:rPr>
          <w:sz w:val="32"/>
          <w:szCs w:val="32"/>
        </w:rPr>
        <w:t>* * *</w:t>
      </w:r>
    </w:p>
    <w:p w:rsidR="00D32E0F" w:rsidRPr="00634D67" w:rsidRDefault="00D32E0F">
      <w:pPr>
        <w:rPr>
          <w:sz w:val="32"/>
          <w:szCs w:val="32"/>
        </w:rPr>
      </w:pPr>
    </w:p>
    <w:sectPr w:rsidR="00D32E0F" w:rsidRPr="00634D6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673"/>
    <w:rsid w:val="0003272B"/>
    <w:rsid w:val="002D7673"/>
    <w:rsid w:val="00634D67"/>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D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D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050183">
      <w:bodyDiv w:val="1"/>
      <w:marLeft w:val="0"/>
      <w:marRight w:val="0"/>
      <w:marTop w:val="0"/>
      <w:marBottom w:val="0"/>
      <w:divBdr>
        <w:top w:val="none" w:sz="0" w:space="0" w:color="auto"/>
        <w:left w:val="none" w:sz="0" w:space="0" w:color="auto"/>
        <w:bottom w:val="none" w:sz="0" w:space="0" w:color="auto"/>
        <w:right w:val="none" w:sz="0" w:space="0" w:color="auto"/>
      </w:divBdr>
      <w:divsChild>
        <w:div w:id="314575838">
          <w:marLeft w:val="0"/>
          <w:marRight w:val="0"/>
          <w:marTop w:val="0"/>
          <w:marBottom w:val="0"/>
          <w:divBdr>
            <w:top w:val="none" w:sz="0" w:space="0" w:color="auto"/>
            <w:left w:val="none" w:sz="0" w:space="0" w:color="auto"/>
            <w:bottom w:val="none" w:sz="0" w:space="0" w:color="auto"/>
            <w:right w:val="none" w:sz="0" w:space="0" w:color="auto"/>
          </w:divBdr>
        </w:div>
        <w:div w:id="1284968840">
          <w:marLeft w:val="0"/>
          <w:marRight w:val="0"/>
          <w:marTop w:val="0"/>
          <w:marBottom w:val="0"/>
          <w:divBdr>
            <w:top w:val="none" w:sz="0" w:space="0" w:color="auto"/>
            <w:left w:val="none" w:sz="0" w:space="0" w:color="auto"/>
            <w:bottom w:val="none" w:sz="0" w:space="0" w:color="auto"/>
            <w:right w:val="none" w:sz="0" w:space="0" w:color="auto"/>
          </w:divBdr>
        </w:div>
        <w:div w:id="363797447">
          <w:marLeft w:val="0"/>
          <w:marRight w:val="0"/>
          <w:marTop w:val="0"/>
          <w:marBottom w:val="0"/>
          <w:divBdr>
            <w:top w:val="none" w:sz="0" w:space="0" w:color="auto"/>
            <w:left w:val="none" w:sz="0" w:space="0" w:color="auto"/>
            <w:bottom w:val="none" w:sz="0" w:space="0" w:color="auto"/>
            <w:right w:val="none" w:sz="0" w:space="0" w:color="auto"/>
          </w:divBdr>
        </w:div>
        <w:div w:id="616376374">
          <w:marLeft w:val="0"/>
          <w:marRight w:val="0"/>
          <w:marTop w:val="0"/>
          <w:marBottom w:val="0"/>
          <w:divBdr>
            <w:top w:val="none" w:sz="0" w:space="0" w:color="auto"/>
            <w:left w:val="none" w:sz="0" w:space="0" w:color="auto"/>
            <w:bottom w:val="none" w:sz="0" w:space="0" w:color="auto"/>
            <w:right w:val="none" w:sz="0" w:space="0" w:color="auto"/>
          </w:divBdr>
        </w:div>
        <w:div w:id="546920606">
          <w:marLeft w:val="0"/>
          <w:marRight w:val="0"/>
          <w:marTop w:val="0"/>
          <w:marBottom w:val="0"/>
          <w:divBdr>
            <w:top w:val="none" w:sz="0" w:space="0" w:color="auto"/>
            <w:left w:val="none" w:sz="0" w:space="0" w:color="auto"/>
            <w:bottom w:val="none" w:sz="0" w:space="0" w:color="auto"/>
            <w:right w:val="none" w:sz="0" w:space="0" w:color="auto"/>
          </w:divBdr>
        </w:div>
        <w:div w:id="918321763">
          <w:marLeft w:val="0"/>
          <w:marRight w:val="0"/>
          <w:marTop w:val="0"/>
          <w:marBottom w:val="0"/>
          <w:divBdr>
            <w:top w:val="none" w:sz="0" w:space="0" w:color="auto"/>
            <w:left w:val="none" w:sz="0" w:space="0" w:color="auto"/>
            <w:bottom w:val="none" w:sz="0" w:space="0" w:color="auto"/>
            <w:right w:val="none" w:sz="0" w:space="0" w:color="auto"/>
          </w:divBdr>
        </w:div>
        <w:div w:id="1102840926">
          <w:marLeft w:val="0"/>
          <w:marRight w:val="0"/>
          <w:marTop w:val="0"/>
          <w:marBottom w:val="0"/>
          <w:divBdr>
            <w:top w:val="none" w:sz="0" w:space="0" w:color="auto"/>
            <w:left w:val="none" w:sz="0" w:space="0" w:color="auto"/>
            <w:bottom w:val="none" w:sz="0" w:space="0" w:color="auto"/>
            <w:right w:val="none" w:sz="0" w:space="0" w:color="auto"/>
          </w:divBdr>
        </w:div>
        <w:div w:id="494732520">
          <w:marLeft w:val="0"/>
          <w:marRight w:val="0"/>
          <w:marTop w:val="0"/>
          <w:marBottom w:val="0"/>
          <w:divBdr>
            <w:top w:val="none" w:sz="0" w:space="0" w:color="auto"/>
            <w:left w:val="none" w:sz="0" w:space="0" w:color="auto"/>
            <w:bottom w:val="none" w:sz="0" w:space="0" w:color="auto"/>
            <w:right w:val="none" w:sz="0" w:space="0" w:color="auto"/>
          </w:divBdr>
        </w:div>
        <w:div w:id="1184326955">
          <w:marLeft w:val="0"/>
          <w:marRight w:val="0"/>
          <w:marTop w:val="0"/>
          <w:marBottom w:val="0"/>
          <w:divBdr>
            <w:top w:val="none" w:sz="0" w:space="0" w:color="auto"/>
            <w:left w:val="none" w:sz="0" w:space="0" w:color="auto"/>
            <w:bottom w:val="none" w:sz="0" w:space="0" w:color="auto"/>
            <w:right w:val="none" w:sz="0" w:space="0" w:color="auto"/>
          </w:divBdr>
        </w:div>
        <w:div w:id="1368216867">
          <w:marLeft w:val="0"/>
          <w:marRight w:val="0"/>
          <w:marTop w:val="0"/>
          <w:marBottom w:val="0"/>
          <w:divBdr>
            <w:top w:val="none" w:sz="0" w:space="0" w:color="auto"/>
            <w:left w:val="none" w:sz="0" w:space="0" w:color="auto"/>
            <w:bottom w:val="none" w:sz="0" w:space="0" w:color="auto"/>
            <w:right w:val="none" w:sz="0" w:space="0" w:color="auto"/>
          </w:divBdr>
        </w:div>
        <w:div w:id="1097990571">
          <w:marLeft w:val="0"/>
          <w:marRight w:val="0"/>
          <w:marTop w:val="0"/>
          <w:marBottom w:val="0"/>
          <w:divBdr>
            <w:top w:val="none" w:sz="0" w:space="0" w:color="auto"/>
            <w:left w:val="none" w:sz="0" w:space="0" w:color="auto"/>
            <w:bottom w:val="none" w:sz="0" w:space="0" w:color="auto"/>
            <w:right w:val="none" w:sz="0" w:space="0" w:color="auto"/>
          </w:divBdr>
        </w:div>
        <w:div w:id="204223367">
          <w:marLeft w:val="0"/>
          <w:marRight w:val="0"/>
          <w:marTop w:val="0"/>
          <w:marBottom w:val="0"/>
          <w:divBdr>
            <w:top w:val="none" w:sz="0" w:space="0" w:color="auto"/>
            <w:left w:val="none" w:sz="0" w:space="0" w:color="auto"/>
            <w:bottom w:val="none" w:sz="0" w:space="0" w:color="auto"/>
            <w:right w:val="none" w:sz="0" w:space="0" w:color="auto"/>
          </w:divBdr>
        </w:div>
        <w:div w:id="1467627076">
          <w:marLeft w:val="0"/>
          <w:marRight w:val="0"/>
          <w:marTop w:val="0"/>
          <w:marBottom w:val="0"/>
          <w:divBdr>
            <w:top w:val="none" w:sz="0" w:space="0" w:color="auto"/>
            <w:left w:val="none" w:sz="0" w:space="0" w:color="auto"/>
            <w:bottom w:val="none" w:sz="0" w:space="0" w:color="auto"/>
            <w:right w:val="none" w:sz="0" w:space="0" w:color="auto"/>
          </w:divBdr>
        </w:div>
      </w:divsChild>
    </w:div>
    <w:div w:id="1657299926">
      <w:bodyDiv w:val="1"/>
      <w:marLeft w:val="0"/>
      <w:marRight w:val="0"/>
      <w:marTop w:val="0"/>
      <w:marBottom w:val="0"/>
      <w:divBdr>
        <w:top w:val="none" w:sz="0" w:space="0" w:color="auto"/>
        <w:left w:val="none" w:sz="0" w:space="0" w:color="auto"/>
        <w:bottom w:val="none" w:sz="0" w:space="0" w:color="auto"/>
        <w:right w:val="none" w:sz="0" w:space="0" w:color="auto"/>
      </w:divBdr>
      <w:divsChild>
        <w:div w:id="2103454214">
          <w:marLeft w:val="0"/>
          <w:marRight w:val="0"/>
          <w:marTop w:val="0"/>
          <w:marBottom w:val="0"/>
          <w:divBdr>
            <w:top w:val="none" w:sz="0" w:space="0" w:color="auto"/>
            <w:left w:val="none" w:sz="0" w:space="0" w:color="auto"/>
            <w:bottom w:val="none" w:sz="0" w:space="0" w:color="auto"/>
            <w:right w:val="none" w:sz="0" w:space="0" w:color="auto"/>
          </w:divBdr>
        </w:div>
        <w:div w:id="819807947">
          <w:marLeft w:val="0"/>
          <w:marRight w:val="0"/>
          <w:marTop w:val="0"/>
          <w:marBottom w:val="0"/>
          <w:divBdr>
            <w:top w:val="none" w:sz="0" w:space="0" w:color="auto"/>
            <w:left w:val="none" w:sz="0" w:space="0" w:color="auto"/>
            <w:bottom w:val="none" w:sz="0" w:space="0" w:color="auto"/>
            <w:right w:val="none" w:sz="0" w:space="0" w:color="auto"/>
          </w:divBdr>
        </w:div>
        <w:div w:id="2067293878">
          <w:marLeft w:val="0"/>
          <w:marRight w:val="0"/>
          <w:marTop w:val="0"/>
          <w:marBottom w:val="0"/>
          <w:divBdr>
            <w:top w:val="none" w:sz="0" w:space="0" w:color="auto"/>
            <w:left w:val="none" w:sz="0" w:space="0" w:color="auto"/>
            <w:bottom w:val="none" w:sz="0" w:space="0" w:color="auto"/>
            <w:right w:val="none" w:sz="0" w:space="0" w:color="auto"/>
          </w:divBdr>
        </w:div>
        <w:div w:id="66925574">
          <w:marLeft w:val="0"/>
          <w:marRight w:val="0"/>
          <w:marTop w:val="0"/>
          <w:marBottom w:val="0"/>
          <w:divBdr>
            <w:top w:val="none" w:sz="0" w:space="0" w:color="auto"/>
            <w:left w:val="none" w:sz="0" w:space="0" w:color="auto"/>
            <w:bottom w:val="none" w:sz="0" w:space="0" w:color="auto"/>
            <w:right w:val="none" w:sz="0" w:space="0" w:color="auto"/>
          </w:divBdr>
        </w:div>
        <w:div w:id="1360593191">
          <w:marLeft w:val="0"/>
          <w:marRight w:val="0"/>
          <w:marTop w:val="0"/>
          <w:marBottom w:val="0"/>
          <w:divBdr>
            <w:top w:val="none" w:sz="0" w:space="0" w:color="auto"/>
            <w:left w:val="none" w:sz="0" w:space="0" w:color="auto"/>
            <w:bottom w:val="none" w:sz="0" w:space="0" w:color="auto"/>
            <w:right w:val="none" w:sz="0" w:space="0" w:color="auto"/>
          </w:divBdr>
        </w:div>
        <w:div w:id="723141609">
          <w:marLeft w:val="0"/>
          <w:marRight w:val="0"/>
          <w:marTop w:val="0"/>
          <w:marBottom w:val="0"/>
          <w:divBdr>
            <w:top w:val="none" w:sz="0" w:space="0" w:color="auto"/>
            <w:left w:val="none" w:sz="0" w:space="0" w:color="auto"/>
            <w:bottom w:val="none" w:sz="0" w:space="0" w:color="auto"/>
            <w:right w:val="none" w:sz="0" w:space="0" w:color="auto"/>
          </w:divBdr>
        </w:div>
        <w:div w:id="1801024185">
          <w:marLeft w:val="0"/>
          <w:marRight w:val="0"/>
          <w:marTop w:val="0"/>
          <w:marBottom w:val="0"/>
          <w:divBdr>
            <w:top w:val="none" w:sz="0" w:space="0" w:color="auto"/>
            <w:left w:val="none" w:sz="0" w:space="0" w:color="auto"/>
            <w:bottom w:val="none" w:sz="0" w:space="0" w:color="auto"/>
            <w:right w:val="none" w:sz="0" w:space="0" w:color="auto"/>
          </w:divBdr>
        </w:div>
        <w:div w:id="994340957">
          <w:marLeft w:val="0"/>
          <w:marRight w:val="0"/>
          <w:marTop w:val="0"/>
          <w:marBottom w:val="0"/>
          <w:divBdr>
            <w:top w:val="none" w:sz="0" w:space="0" w:color="auto"/>
            <w:left w:val="none" w:sz="0" w:space="0" w:color="auto"/>
            <w:bottom w:val="none" w:sz="0" w:space="0" w:color="auto"/>
            <w:right w:val="none" w:sz="0" w:space="0" w:color="auto"/>
          </w:divBdr>
        </w:div>
        <w:div w:id="1188908584">
          <w:marLeft w:val="0"/>
          <w:marRight w:val="0"/>
          <w:marTop w:val="0"/>
          <w:marBottom w:val="0"/>
          <w:divBdr>
            <w:top w:val="none" w:sz="0" w:space="0" w:color="auto"/>
            <w:left w:val="none" w:sz="0" w:space="0" w:color="auto"/>
            <w:bottom w:val="none" w:sz="0" w:space="0" w:color="auto"/>
            <w:right w:val="none" w:sz="0" w:space="0" w:color="auto"/>
          </w:divBdr>
        </w:div>
        <w:div w:id="1648242777">
          <w:marLeft w:val="0"/>
          <w:marRight w:val="0"/>
          <w:marTop w:val="0"/>
          <w:marBottom w:val="0"/>
          <w:divBdr>
            <w:top w:val="none" w:sz="0" w:space="0" w:color="auto"/>
            <w:left w:val="none" w:sz="0" w:space="0" w:color="auto"/>
            <w:bottom w:val="none" w:sz="0" w:space="0" w:color="auto"/>
            <w:right w:val="none" w:sz="0" w:space="0" w:color="auto"/>
          </w:divBdr>
        </w:div>
        <w:div w:id="1838107084">
          <w:marLeft w:val="0"/>
          <w:marRight w:val="0"/>
          <w:marTop w:val="0"/>
          <w:marBottom w:val="0"/>
          <w:divBdr>
            <w:top w:val="none" w:sz="0" w:space="0" w:color="auto"/>
            <w:left w:val="none" w:sz="0" w:space="0" w:color="auto"/>
            <w:bottom w:val="none" w:sz="0" w:space="0" w:color="auto"/>
            <w:right w:val="none" w:sz="0" w:space="0" w:color="auto"/>
          </w:divBdr>
        </w:div>
        <w:div w:id="1015232242">
          <w:marLeft w:val="0"/>
          <w:marRight w:val="0"/>
          <w:marTop w:val="0"/>
          <w:marBottom w:val="0"/>
          <w:divBdr>
            <w:top w:val="none" w:sz="0" w:space="0" w:color="auto"/>
            <w:left w:val="none" w:sz="0" w:space="0" w:color="auto"/>
            <w:bottom w:val="none" w:sz="0" w:space="0" w:color="auto"/>
            <w:right w:val="none" w:sz="0" w:space="0" w:color="auto"/>
          </w:divBdr>
        </w:div>
        <w:div w:id="1866164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2020-04-26T12:32:00Z</dcterms:created>
  <dcterms:modified xsi:type="dcterms:W3CDTF">2020-04-26T12:32:00Z</dcterms:modified>
</cp:coreProperties>
</file>